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4998" w:right="4975" w:firstLine="0"/>
        <w:jc w:val="center"/>
        <w:rPr>
          <w:b/>
          <w:sz w:val="28"/>
        </w:rPr>
      </w:pPr>
      <w:r>
        <w:rPr>
          <w:b/>
          <w:sz w:val="28"/>
        </w:rPr>
        <w:t>LTC </w:t>
      </w:r>
      <w:r>
        <w:rPr>
          <w:b/>
          <w:i/>
          <w:sz w:val="28"/>
        </w:rPr>
        <w:t>C. difficile </w:t>
      </w:r>
      <w:r>
        <w:rPr>
          <w:b/>
          <w:sz w:val="28"/>
        </w:rPr>
        <w:t>Infection (CDI) Worksheet</w:t>
      </w:r>
    </w:p>
    <w:p>
      <w:pPr>
        <w:spacing w:before="25"/>
        <w:ind w:left="4995" w:right="4975" w:firstLine="0"/>
        <w:jc w:val="center"/>
        <w:rPr>
          <w:i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5pt;margin-top:5.92581pt;width:191.45pt;height:24.8pt;mso-position-horizontal-relative:page;mso-position-vertical-relative:paragraph;z-index:0" type="#_x0000_t202" filled="false" stroked="true" strokeweight="2.25pt" strokecolor="#ec7c30">
            <v:textbox inset="0,0,0,0">
              <w:txbxContent>
                <w:p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pos="865" w:val="left" w:leader="none"/>
                    </w:tabs>
                    <w:spacing w:line="240" w:lineRule="auto" w:before="68" w:after="0"/>
                    <w:ind w:left="864" w:right="0" w:hanging="360"/>
                    <w:jc w:val="left"/>
                  </w:pPr>
                  <w:r>
                    <w:rPr/>
                    <w:t>McGeer Criteria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2012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i/>
          <w:sz w:val="24"/>
        </w:rPr>
        <w:t>(McGeer Criteria and CDC-NHSN LabID Event)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 w:after="1"/>
        <w:rPr>
          <w:i/>
          <w:sz w:val="15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6"/>
        <w:gridCol w:w="2520"/>
        <w:gridCol w:w="2436"/>
        <w:gridCol w:w="5060"/>
      </w:tblGrid>
      <w:tr>
        <w:trPr>
          <w:trHeight w:val="607" w:hRule="exact"/>
        </w:trPr>
        <w:tc>
          <w:tcPr>
            <w:tcW w:w="4386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Resident Name</w:t>
            </w:r>
          </w:p>
        </w:tc>
        <w:tc>
          <w:tcPr>
            <w:tcW w:w="252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MR#</w:t>
            </w:r>
          </w:p>
        </w:tc>
        <w:tc>
          <w:tcPr>
            <w:tcW w:w="2436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Date of Admission</w:t>
            </w:r>
          </w:p>
        </w:tc>
        <w:tc>
          <w:tcPr>
            <w:tcW w:w="5060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Resident Location (hall/room #)</w:t>
            </w:r>
          </w:p>
        </w:tc>
      </w:tr>
      <w:tr>
        <w:trPr>
          <w:trHeight w:val="899" w:hRule="exact"/>
        </w:trPr>
        <w:tc>
          <w:tcPr>
            <w:tcW w:w="6906" w:type="dxa"/>
            <w:gridSpan w:val="2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Relevant findings (date of + toxin, date of stool culture, etc.)</w:t>
            </w:r>
          </w:p>
        </w:tc>
        <w:tc>
          <w:tcPr>
            <w:tcW w:w="243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of ONSET of S&amp;S</w:t>
            </w:r>
          </w:p>
        </w:tc>
        <w:tc>
          <w:tcPr>
            <w:tcW w:w="506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292" w:lineRule="exact" w:before="0" w:after="0"/>
              <w:ind w:left="459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&lt; </w:t>
            </w:r>
            <w:r>
              <w:rPr>
                <w:b/>
                <w:sz w:val="24"/>
              </w:rPr>
              <w:t>2 calendar days = Community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Acquired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240" w:lineRule="auto" w:before="0" w:after="0"/>
              <w:ind w:left="459" w:right="749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&gt; 2 calendar days after admit = Facility Acquired</w:t>
            </w:r>
          </w:p>
        </w:tc>
      </w:tr>
      <w:tr>
        <w:trPr>
          <w:trHeight w:val="899" w:hRule="exact"/>
        </w:trPr>
        <w:tc>
          <w:tcPr>
            <w:tcW w:w="6906" w:type="dxa"/>
            <w:gridSpan w:val="2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 of Infection</w:t>
            </w:r>
          </w:p>
        </w:tc>
        <w:tc>
          <w:tcPr>
            <w:tcW w:w="7496" w:type="dxa"/>
            <w:gridSpan w:val="2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Person completing form</w:t>
            </w:r>
          </w:p>
        </w:tc>
      </w:tr>
    </w:tbl>
    <w:p>
      <w:pPr>
        <w:spacing w:line="240" w:lineRule="auto" w:before="1" w:after="1"/>
        <w:rPr>
          <w:i/>
          <w:sz w:val="26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742"/>
        <w:gridCol w:w="4680"/>
      </w:tblGrid>
      <w:tr>
        <w:trPr>
          <w:trHeight w:val="710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spacing w:before="198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Type of Infection</w:t>
            </w:r>
          </w:p>
        </w:tc>
        <w:tc>
          <w:tcPr>
            <w:tcW w:w="7742" w:type="dxa"/>
            <w:shd w:val="clear" w:color="auto" w:fill="D9D9D9"/>
          </w:tcPr>
          <w:p>
            <w:pPr>
              <w:pStyle w:val="TableParagraph"/>
              <w:spacing w:before="198"/>
              <w:ind w:left="2816" w:right="2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Signs and Symptoms</w:t>
            </w:r>
          </w:p>
        </w:tc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198"/>
              <w:ind w:left="9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>
        <w:trPr>
          <w:trHeight w:val="4652" w:hRule="exact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spacing w:before="11"/>
              <w:ind w:left="0"/>
              <w:rPr>
                <w:i/>
                <w:sz w:val="3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C.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difficile</w:t>
            </w:r>
          </w:p>
        </w:tc>
        <w:tc>
          <w:tcPr>
            <w:tcW w:w="7742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07" w:val="left" w:leader="none"/>
              </w:tabs>
              <w:spacing w:before="5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1 of the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3" w:lineRule="auto" w:before="102" w:after="0"/>
              <w:ind w:left="818" w:right="416" w:hanging="360"/>
              <w:jc w:val="left"/>
              <w:rPr>
                <w:sz w:val="22"/>
              </w:rPr>
            </w:pPr>
            <w:r>
              <w:rPr>
                <w:sz w:val="22"/>
              </w:rPr>
              <w:t>Diarrhea: 3 or more liquid or watery stools above what is normal for the resident within a 24-hour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76" w:lineRule="auto" w:before="3" w:after="0"/>
              <w:ind w:left="818" w:right="904" w:hanging="360"/>
              <w:jc w:val="left"/>
              <w:rPr>
                <w:sz w:val="22"/>
              </w:rPr>
            </w:pPr>
            <w:r>
              <w:rPr>
                <w:sz w:val="22"/>
              </w:rPr>
              <w:t>Presence of toxic megacolon (abnormal dilation of the large bowel, documented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radiologically)</w:t>
            </w:r>
          </w:p>
          <w:p>
            <w:pPr>
              <w:pStyle w:val="TableParagraph"/>
              <w:tabs>
                <w:tab w:pos="507" w:val="left" w:leader="none"/>
              </w:tabs>
              <w:spacing w:before="6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1 of the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10" w:val="left" w:leader="none"/>
              </w:tabs>
              <w:spacing w:line="276" w:lineRule="auto" w:before="103" w:after="0"/>
              <w:ind w:left="909" w:right="104" w:hanging="360"/>
              <w:jc w:val="left"/>
              <w:rPr>
                <w:sz w:val="22"/>
              </w:rPr>
            </w:pPr>
            <w:r>
              <w:rPr>
                <w:sz w:val="22"/>
              </w:rPr>
              <w:t>Stool sample yields a positive laboratory test result for </w:t>
            </w:r>
            <w:r>
              <w:rPr>
                <w:i/>
                <w:sz w:val="22"/>
              </w:rPr>
              <w:t>C. difficile </w:t>
            </w:r>
            <w:r>
              <w:rPr>
                <w:sz w:val="22"/>
              </w:rPr>
              <w:t>toxin A or B, or a toxin-producing </w:t>
            </w:r>
            <w:r>
              <w:rPr>
                <w:i/>
                <w:sz w:val="22"/>
              </w:rPr>
              <w:t>C. difficile </w:t>
            </w:r>
            <w:r>
              <w:rPr>
                <w:sz w:val="22"/>
              </w:rPr>
              <w:t>organism is identified from a stool sample culture or by a molecular diagnostic test such as Polymerase Chain Reaction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(PCR)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910" w:val="left" w:leader="none"/>
              </w:tabs>
              <w:spacing w:line="273" w:lineRule="auto" w:before="0" w:after="0"/>
              <w:ind w:left="909" w:right="204" w:hanging="360"/>
              <w:jc w:val="left"/>
              <w:rPr>
                <w:sz w:val="22"/>
              </w:rPr>
            </w:pPr>
            <w:r>
              <w:rPr>
                <w:sz w:val="22"/>
              </w:rPr>
              <w:t>Pseudomembranous colitis is identified during endoscopic examination or surgery or in histopathologic examination of a biopsy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specimen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9"/>
              <w:ind w:left="141" w:right="147" w:firstLine="5"/>
              <w:jc w:val="center"/>
              <w:rPr>
                <w:sz w:val="20"/>
              </w:rPr>
            </w:pPr>
            <w:r>
              <w:rPr>
                <w:sz w:val="20"/>
              </w:rPr>
              <w:t>A “</w:t>
            </w:r>
            <w:r>
              <w:rPr>
                <w:b/>
                <w:sz w:val="20"/>
                <w:u w:val="single"/>
              </w:rPr>
              <w:t>primary episode</w:t>
            </w:r>
            <w:r>
              <w:rPr>
                <w:sz w:val="20"/>
              </w:rPr>
              <w:t>” of </w:t>
            </w:r>
            <w:r>
              <w:rPr>
                <w:i/>
                <w:sz w:val="20"/>
              </w:rPr>
              <w:t>C. difficile </w:t>
            </w:r>
            <w:r>
              <w:rPr>
                <w:sz w:val="20"/>
              </w:rPr>
              <w:t>infection is defined as one that has occurred without any previous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history of </w:t>
            </w:r>
            <w:r>
              <w:rPr>
                <w:i/>
                <w:sz w:val="20"/>
              </w:rPr>
              <w:t>C. difficile </w:t>
            </w:r>
            <w:r>
              <w:rPr>
                <w:sz w:val="20"/>
              </w:rPr>
              <w:t>infection or that has occurred &gt;8 weeks after the onset of a previous episode of </w:t>
            </w:r>
            <w:r>
              <w:rPr>
                <w:i/>
                <w:sz w:val="20"/>
              </w:rPr>
              <w:t>C. difficile </w:t>
            </w:r>
            <w:r>
              <w:rPr>
                <w:sz w:val="20"/>
              </w:rPr>
              <w:t>infection.</w:t>
            </w:r>
          </w:p>
          <w:p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ind w:left="97" w:right="100"/>
              <w:jc w:val="center"/>
              <w:rPr>
                <w:sz w:val="20"/>
              </w:rPr>
            </w:pPr>
            <w:r>
              <w:rPr>
                <w:sz w:val="20"/>
              </w:rPr>
              <w:t>A “</w:t>
            </w:r>
            <w:r>
              <w:rPr>
                <w:b/>
                <w:sz w:val="20"/>
                <w:u w:val="single"/>
              </w:rPr>
              <w:t>recurrent episode</w:t>
            </w:r>
            <w:r>
              <w:rPr>
                <w:sz w:val="20"/>
              </w:rPr>
              <w:t>” of </w:t>
            </w:r>
            <w:r>
              <w:rPr>
                <w:i/>
                <w:sz w:val="20"/>
              </w:rPr>
              <w:t>C. difficile </w:t>
            </w:r>
            <w:r>
              <w:rPr>
                <w:sz w:val="20"/>
              </w:rPr>
              <w:t>infection is defined as an episode that occurs 8 weeks or sooner after the onset of a previous episode, provided that the symptoms from the earlier (previous) episode have resolved.  Individuals previously infected with </w:t>
            </w:r>
            <w:r>
              <w:rPr>
                <w:i/>
                <w:sz w:val="20"/>
              </w:rPr>
              <w:t>C. </w:t>
            </w:r>
            <w:r>
              <w:rPr>
                <w:i/>
                <w:sz w:val="20"/>
              </w:rPr>
              <w:t>difficile </w:t>
            </w:r>
            <w:r>
              <w:rPr>
                <w:sz w:val="20"/>
              </w:rPr>
              <w:t>may continue to remain colonized even after symptoms resolve. In the setting of an outbreak of GI infection, individuals could have positive test results for </w:t>
            </w:r>
            <w:r>
              <w:rPr>
                <w:i/>
                <w:sz w:val="20"/>
              </w:rPr>
              <w:t>C. difficile </w:t>
            </w:r>
            <w:r>
              <w:rPr>
                <w:sz w:val="20"/>
              </w:rPr>
              <w:t>toxin because of ongoing colonization and also be co-infected with another pathogen. It is important that other surveillance criteria be used to differentiate infections in this situation.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16"/>
        </w:rPr>
      </w:pPr>
    </w:p>
    <w:p>
      <w:pPr>
        <w:pStyle w:val="BodyText"/>
        <w:tabs>
          <w:tab w:pos="13275" w:val="left" w:leader="none"/>
        </w:tabs>
        <w:spacing w:line="195" w:lineRule="exact" w:before="68"/>
        <w:ind w:left="313"/>
        <w:rPr>
          <w:i/>
        </w:rPr>
      </w:pPr>
      <w:r>
        <w:rPr>
          <w:i/>
        </w:rPr>
        <w:t>Surveillance Definitions of Infections in Long-Term Care Facilities:  Revisiting the</w:t>
      </w:r>
      <w:r>
        <w:rPr>
          <w:i/>
          <w:spacing w:val="-25"/>
        </w:rPr>
        <w:t> </w:t>
      </w:r>
      <w:r>
        <w:rPr>
          <w:i/>
        </w:rPr>
        <w:t>McGeer</w:t>
      </w:r>
      <w:r>
        <w:rPr>
          <w:i/>
          <w:spacing w:val="-3"/>
        </w:rPr>
        <w:t> </w:t>
      </w:r>
      <w:r>
        <w:rPr>
          <w:i/>
        </w:rPr>
        <w:t>Criteria.</w:t>
        <w:tab/>
        <w:t>NC SPICE,</w:t>
      </w:r>
      <w:r>
        <w:rPr>
          <w:i/>
          <w:spacing w:val="-2"/>
        </w:rPr>
        <w:t> </w:t>
      </w:r>
      <w:r>
        <w:rPr>
          <w:i/>
        </w:rPr>
        <w:t>9/2016</w:t>
      </w:r>
    </w:p>
    <w:p>
      <w:pPr>
        <w:pStyle w:val="BodyText"/>
        <w:tabs>
          <w:tab w:pos="13275" w:val="left" w:leader="none"/>
        </w:tabs>
        <w:spacing w:line="195" w:lineRule="exact"/>
        <w:ind w:left="313"/>
        <w:rPr>
          <w:i/>
        </w:rPr>
      </w:pPr>
      <w:r>
        <w:rPr>
          <w:i/>
        </w:rPr>
        <w:t>Infection Control Hospital</w:t>
      </w:r>
      <w:r>
        <w:rPr>
          <w:i/>
          <w:spacing w:val="-5"/>
        </w:rPr>
        <w:t> </w:t>
      </w:r>
      <w:r>
        <w:rPr>
          <w:i/>
        </w:rPr>
        <w:t>Epidemiology</w:t>
      </w:r>
      <w:r>
        <w:rPr>
          <w:i/>
          <w:spacing w:val="-2"/>
        </w:rPr>
        <w:t> </w:t>
      </w:r>
      <w:r>
        <w:rPr>
          <w:i/>
        </w:rPr>
        <w:t>2012;33(10):965-977</w:t>
        <w:tab/>
        <w:t>Page 1 of</w:t>
      </w:r>
      <w:r>
        <w:rPr>
          <w:i/>
          <w:spacing w:val="-4"/>
        </w:rPr>
        <w:t> </w:t>
      </w:r>
      <w:r>
        <w:rPr>
          <w:i/>
        </w:rPr>
        <w:t>2</w:t>
      </w:r>
    </w:p>
    <w:p>
      <w:pPr>
        <w:spacing w:after="0" w:line="195" w:lineRule="exact"/>
        <w:sectPr>
          <w:type w:val="continuous"/>
          <w:pgSz w:w="15840" w:h="12240" w:orient="landscape"/>
          <w:pgMar w:top="960" w:bottom="280" w:left="560" w:right="580"/>
        </w:sectPr>
      </w:pPr>
    </w:p>
    <w:p>
      <w:pPr>
        <w:spacing w:line="240" w:lineRule="auto"/>
        <w:ind w:left="77" w:right="0" w:firstLine="0"/>
        <w:rPr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spacing w:val="-49"/>
          <w:sz w:val="20"/>
        </w:rPr>
        <w:pict>
          <v:shape style="width:191.45pt;height:24.8pt;mso-position-horizontal-relative:char;mso-position-vertical-relative:line" type="#_x0000_t202" filled="false" stroked="true" strokeweight="2.25pt" strokecolor="#00af50">
            <w10:anchorlock/>
            <v:textbox inset="0,0,0,0">
              <w:txbxContent>
                <w:p>
                  <w:pPr>
                    <w:pStyle w:val="Heading1"/>
                    <w:numPr>
                      <w:ilvl w:val="0"/>
                      <w:numId w:val="5"/>
                    </w:numPr>
                    <w:tabs>
                      <w:tab w:pos="864" w:val="left" w:leader="none"/>
                    </w:tabs>
                    <w:spacing w:line="240" w:lineRule="auto" w:before="68" w:after="0"/>
                    <w:ind w:left="863" w:right="0" w:hanging="360"/>
                    <w:jc w:val="left"/>
                  </w:pPr>
                  <w:r>
                    <w:rPr/>
                    <w:t>CDC-NSHN CDI LabID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Event</w:t>
                  </w:r>
                </w:p>
              </w:txbxContent>
            </v:textbox>
            <v:stroke dashstyle="dash"/>
          </v:shape>
        </w:pict>
      </w:r>
      <w:r>
        <w:rPr>
          <w:spacing w:val="-49"/>
          <w:sz w:val="20"/>
        </w:rPr>
      </w:r>
    </w:p>
    <w:p>
      <w:pPr>
        <w:spacing w:line="240" w:lineRule="auto" w:before="11"/>
        <w:rPr>
          <w:i/>
          <w:sz w:val="4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6"/>
        <w:gridCol w:w="2520"/>
        <w:gridCol w:w="2436"/>
        <w:gridCol w:w="5060"/>
      </w:tblGrid>
      <w:tr>
        <w:trPr>
          <w:trHeight w:val="608" w:hRule="exact"/>
        </w:trPr>
        <w:tc>
          <w:tcPr>
            <w:tcW w:w="438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Resident Name/MR #</w:t>
            </w:r>
          </w:p>
        </w:tc>
        <w:tc>
          <w:tcPr>
            <w:tcW w:w="2520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SS#</w:t>
            </w:r>
          </w:p>
        </w:tc>
        <w:tc>
          <w:tcPr>
            <w:tcW w:w="243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5060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Resident Location (hall/room #)</w:t>
            </w:r>
          </w:p>
        </w:tc>
      </w:tr>
      <w:tr>
        <w:trPr>
          <w:trHeight w:val="1777" w:hRule="exact"/>
        </w:trPr>
        <w:tc>
          <w:tcPr>
            <w:tcW w:w="6906" w:type="dxa"/>
            <w:gridSpan w:val="2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specimen collected: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&lt; </w:t>
            </w:r>
            <w:r>
              <w:rPr>
                <w:sz w:val="24"/>
              </w:rPr>
              <w:t>3 calendar days = Community-Onset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(CO)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&gt; 3 calendar days = Long-term Care Facility Onset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(LO)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79" w:val="left" w:leader="none"/>
              </w:tabs>
              <w:spacing w:line="240" w:lineRule="auto" w:before="0" w:after="0"/>
              <w:ind w:left="1178" w:right="39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&lt; </w:t>
            </w:r>
            <w:r>
              <w:rPr>
                <w:sz w:val="24"/>
              </w:rPr>
              <w:t>4 weeks following date of last transfer from an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acute care facility = Acute Care Transfer-Long-term Care Facility-Onset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(ACT-LO)</w:t>
            </w:r>
          </w:p>
        </w:tc>
        <w:tc>
          <w:tcPr>
            <w:tcW w:w="243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8" w:val="left" w:leader="none"/>
              </w:tabs>
              <w:spacing w:line="240" w:lineRule="auto" w:before="146" w:after="0"/>
              <w:ind w:left="367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Male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Female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060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Resident type: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Short-stay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Long-stay</w:t>
            </w:r>
          </w:p>
          <w:p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>
            <w:pPr>
              <w:pStyle w:val="TableParagraph"/>
              <w:tabs>
                <w:tab w:pos="3765" w:val="left" w:leader="none"/>
                <w:tab w:pos="4791" w:val="left" w:leader="none"/>
                <w:tab w:pos="4898" w:val="left" w:leader="none"/>
              </w:tabs>
              <w:spacing w:line="480" w:lineRule="auto"/>
              <w:ind w:right="128"/>
              <w:rPr>
                <w:sz w:val="24"/>
              </w:rPr>
            </w:pPr>
            <w:r>
              <w:rPr>
                <w:sz w:val="24"/>
              </w:rPr>
              <w:t>Date of 1</w:t>
            </w:r>
            <w:r>
              <w:rPr>
                <w:position w:val="8"/>
                <w:sz w:val="16"/>
              </w:rPr>
              <w:t>st </w:t>
            </w:r>
            <w:r>
              <w:rPr>
                <w:sz w:val="24"/>
              </w:rPr>
              <w:t>admission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to facility:</w:t>
              <w:tab/>
              <w:t>/   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 Date of current admission to facility:     /   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  <w:tab/>
            </w:r>
          </w:p>
        </w:tc>
      </w:tr>
      <w:tr>
        <w:trPr>
          <w:trHeight w:val="1485" w:hRule="exact"/>
        </w:trPr>
        <w:tc>
          <w:tcPr>
            <w:tcW w:w="6906" w:type="dxa"/>
            <w:gridSpan w:val="2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Primary Resident Service Type: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Long-term general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nursing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0" w:lineRule="auto" w:before="1" w:after="0"/>
              <w:ind w:left="367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Long-term dementia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Long-term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psychiatric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Skilled nursing/Short-term rehab (subacute)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sz w:val="24"/>
              </w:rPr>
              <w:t>Bariatric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0" w:lineRule="auto" w:before="0" w:after="0"/>
              <w:ind w:left="367" w:right="0" w:hanging="269"/>
              <w:jc w:val="left"/>
              <w:rPr>
                <w:sz w:val="24"/>
              </w:rPr>
            </w:pPr>
            <w:r>
              <w:rPr>
                <w:sz w:val="24"/>
              </w:rPr>
              <w:t>Hospice/Palliative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sz w:val="24"/>
              </w:rPr>
              <w:t>Ventilator</w:t>
            </w:r>
          </w:p>
        </w:tc>
        <w:tc>
          <w:tcPr>
            <w:tcW w:w="7496" w:type="dxa"/>
            <w:gridSpan w:val="2"/>
            <w:shd w:val="clear" w:color="auto" w:fill="F1F1F1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Has resident been transferred from an acute care facility in the past 4 weeks?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Yes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  <w:p>
            <w:pPr>
              <w:pStyle w:val="TableParagraph"/>
              <w:tabs>
                <w:tab w:pos="6161" w:val="left" w:leader="none"/>
                <w:tab w:pos="7191" w:val="left" w:leader="none"/>
              </w:tabs>
              <w:rPr>
                <w:sz w:val="24"/>
              </w:rPr>
            </w:pPr>
            <w:r>
              <w:rPr>
                <w:sz w:val="24"/>
              </w:rPr>
              <w:t>*If Yes, date of last transfer from acute care to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your facility:</w:t>
              <w:tab/>
              <w:t>/   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_</w:t>
            </w:r>
          </w:p>
          <w:p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*If Yes, was the resident on antibiotic therapy for </w:t>
            </w:r>
            <w:r>
              <w:rPr>
                <w:i/>
                <w:sz w:val="24"/>
              </w:rPr>
              <w:t>C. difficile </w:t>
            </w:r>
            <w:r>
              <w:rPr>
                <w:sz w:val="24"/>
              </w:rPr>
              <w:t>at the time of transfer to your facility?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Yes 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</w:tr>
      <w:tr>
        <w:trPr>
          <w:trHeight w:val="606" w:hRule="exact"/>
        </w:trPr>
        <w:tc>
          <w:tcPr>
            <w:tcW w:w="6906" w:type="dxa"/>
            <w:gridSpan w:val="2"/>
            <w:shd w:val="clear" w:color="auto" w:fill="F1F1F1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specimen collected</w:t>
            </w:r>
          </w:p>
        </w:tc>
        <w:tc>
          <w:tcPr>
            <w:tcW w:w="7496" w:type="dxa"/>
            <w:gridSpan w:val="2"/>
            <w:shd w:val="clear" w:color="auto" w:fill="F1F1F1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 completing form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 w:after="0"/>
        <w:rPr>
          <w:i/>
          <w:sz w:val="10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742"/>
        <w:gridCol w:w="4680"/>
      </w:tblGrid>
      <w:tr>
        <w:trPr>
          <w:trHeight w:val="1233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ind w:left="0"/>
              <w:rPr>
                <w:i/>
                <w:sz w:val="24"/>
              </w:rPr>
            </w:pPr>
          </w:p>
          <w:p>
            <w:pPr>
              <w:pStyle w:val="TableParagraph"/>
              <w:spacing w:before="166"/>
              <w:rPr>
                <w:b/>
                <w:sz w:val="24"/>
              </w:rPr>
            </w:pPr>
            <w:r>
              <w:rPr>
                <w:b/>
                <w:sz w:val="24"/>
              </w:rPr>
              <w:t>CDI LabID Event =</w:t>
            </w:r>
          </w:p>
        </w:tc>
        <w:tc>
          <w:tcPr>
            <w:tcW w:w="12422" w:type="dxa"/>
            <w:gridSpan w:val="2"/>
            <w:shd w:val="clear" w:color="auto" w:fill="D9D9D9"/>
          </w:tcPr>
          <w:p>
            <w:pPr>
              <w:pStyle w:val="TableParagraph"/>
              <w:spacing w:before="60"/>
              <w:ind w:left="1690"/>
              <w:rPr>
                <w:b/>
                <w:sz w:val="20"/>
              </w:rPr>
            </w:pPr>
            <w:r>
              <w:rPr>
                <w:b/>
                <w:sz w:val="20"/>
              </w:rPr>
              <w:t>All non-duplicate </w:t>
            </w:r>
            <w:r>
              <w:rPr>
                <w:b/>
                <w:i/>
                <w:sz w:val="20"/>
              </w:rPr>
              <w:t>C. difficile </w:t>
            </w:r>
            <w:r>
              <w:rPr>
                <w:b/>
                <w:sz w:val="20"/>
              </w:rPr>
              <w:t>positive laboratory assays obtained while a resident is receiving care in the LTCF.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8" w:val="left" w:leader="none"/>
                <w:tab w:pos="459" w:val="left" w:leader="none"/>
              </w:tabs>
              <w:spacing w:line="240" w:lineRule="auto" w:before="97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Lab results from outside facilities, before a resident’s admission, </w:t>
            </w:r>
            <w:r>
              <w:rPr>
                <w:sz w:val="20"/>
                <w:u w:val="single"/>
              </w:rPr>
              <w:t>should not </w:t>
            </w:r>
            <w:r>
              <w:rPr>
                <w:sz w:val="20"/>
              </w:rPr>
              <w:t>be included in LabID Event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reporting.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8" w:val="left" w:leader="none"/>
                <w:tab w:pos="459" w:val="left" w:leader="none"/>
              </w:tabs>
              <w:spacing w:line="256" w:lineRule="auto" w:before="18" w:after="0"/>
              <w:ind w:left="458" w:right="211" w:hanging="360"/>
              <w:jc w:val="left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helpful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keep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3"/>
                <w:sz w:val="20"/>
              </w:rPr>
              <w:t> </w:t>
            </w:r>
            <w:r>
              <w:rPr>
                <w:i/>
                <w:sz w:val="20"/>
              </w:rPr>
              <w:t>C.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difficile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sz w:val="20"/>
              </w:rPr>
              <w:t>tests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facility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duplicate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incorrectly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entered as CDI LabID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Events.</w:t>
            </w:r>
          </w:p>
        </w:tc>
      </w:tr>
      <w:tr>
        <w:trPr>
          <w:trHeight w:val="3500" w:hRule="exact"/>
        </w:trPr>
        <w:tc>
          <w:tcPr>
            <w:tcW w:w="1980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ind w:left="0"/>
              <w:rPr>
                <w:i/>
                <w:sz w:val="2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9" w:val="left" w:leader="none"/>
              </w:tabs>
              <w:spacing w:line="240" w:lineRule="auto" w:before="228" w:after="0"/>
              <w:ind w:left="458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CDI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LabID</w:t>
            </w:r>
          </w:p>
        </w:tc>
        <w:tc>
          <w:tcPr>
            <w:tcW w:w="7742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07" w:val="left" w:leader="none"/>
              </w:tabs>
              <w:spacing w:line="278" w:lineRule="auto" w:before="59"/>
              <w:ind w:left="530" w:right="357" w:hanging="43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 positive result for a laboratory test</w:t>
            </w:r>
            <w:r>
              <w:rPr>
                <w:b/>
                <w:spacing w:val="-31"/>
                <w:sz w:val="24"/>
              </w:rPr>
              <w:t> </w:t>
            </w:r>
            <w:r>
              <w:rPr>
                <w:b/>
                <w:sz w:val="24"/>
              </w:rPr>
              <w:t>detecting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presence of either of the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9" w:val="left" w:leader="none"/>
              </w:tabs>
              <w:spacing w:line="240" w:lineRule="auto" w:before="55" w:after="0"/>
              <w:ind w:left="818" w:right="0" w:hanging="36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C. difficile </w:t>
            </w:r>
            <w:r>
              <w:rPr>
                <w:sz w:val="20"/>
              </w:rPr>
              <w:t>toxin A or B (e.g., enzyme immunoassay or EIA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test)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19" w:val="left" w:leader="none"/>
              </w:tabs>
              <w:spacing w:line="276" w:lineRule="auto" w:before="36" w:after="0"/>
              <w:ind w:left="818" w:right="310" w:hanging="360"/>
              <w:jc w:val="left"/>
              <w:rPr>
                <w:sz w:val="20"/>
              </w:rPr>
            </w:pPr>
            <w:r>
              <w:rPr>
                <w:sz w:val="20"/>
              </w:rPr>
              <w:t>Toxin-producing </w:t>
            </w:r>
            <w:r>
              <w:rPr>
                <w:i/>
                <w:sz w:val="20"/>
              </w:rPr>
              <w:t>C. difficile </w:t>
            </w:r>
            <w:r>
              <w:rPr>
                <w:sz w:val="20"/>
              </w:rPr>
              <w:t>organism detected in the stool specimen by culture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or other laboratory means (e.g., nucleic acid amplification testing by Polymerase Chain Reaction, 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PCR)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before="59"/>
              <w:ind w:left="97" w:right="98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Duplicate C. </w:t>
            </w:r>
            <w:r>
              <w:rPr>
                <w:b/>
                <w:i/>
                <w:sz w:val="20"/>
                <w:u w:val="single"/>
              </w:rPr>
              <w:t>difficile </w:t>
            </w:r>
            <w:r>
              <w:rPr>
                <w:b/>
                <w:sz w:val="20"/>
                <w:u w:val="single"/>
              </w:rPr>
              <w:t>positive assay</w:t>
            </w:r>
            <w:r>
              <w:rPr>
                <w:sz w:val="20"/>
              </w:rPr>
              <w:t>: Any </w:t>
            </w:r>
            <w:r>
              <w:rPr>
                <w:i/>
                <w:sz w:val="20"/>
              </w:rPr>
              <w:t>C. difficile </w:t>
            </w:r>
            <w:r>
              <w:rPr>
                <w:sz w:val="20"/>
              </w:rPr>
              <w:t>positive laboratory test from </w:t>
            </w:r>
            <w:r>
              <w:rPr>
                <w:b/>
                <w:i/>
                <w:sz w:val="20"/>
              </w:rPr>
              <w:t>the same resident </w:t>
            </w:r>
            <w:r>
              <w:rPr>
                <w:sz w:val="20"/>
              </w:rPr>
              <w:t>following a previous </w:t>
            </w:r>
            <w:r>
              <w:rPr>
                <w:i/>
                <w:sz w:val="20"/>
              </w:rPr>
              <w:t>C. difficile </w:t>
            </w:r>
            <w:r>
              <w:rPr>
                <w:sz w:val="20"/>
              </w:rPr>
              <w:t>positive test</w:t>
            </w:r>
          </w:p>
          <w:p>
            <w:pPr>
              <w:pStyle w:val="TableParagraph"/>
              <w:spacing w:line="242" w:lineRule="exact"/>
              <w:ind w:left="97" w:right="9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within the past 2 weeks.</w:t>
            </w:r>
          </w:p>
          <w:p>
            <w:pPr>
              <w:pStyle w:val="TableParagraph"/>
              <w:spacing w:before="11"/>
              <w:ind w:left="0"/>
              <w:rPr>
                <w:i/>
                <w:sz w:val="29"/>
              </w:rPr>
            </w:pPr>
          </w:p>
          <w:p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Incident CDI LabID Event</w:t>
            </w:r>
            <w:r>
              <w:rPr>
                <w:sz w:val="20"/>
              </w:rPr>
              <w:t>: The first LabID Event ever entered or a subsequent LabID Event entered</w:t>
            </w:r>
          </w:p>
          <w:p>
            <w:pPr>
              <w:pStyle w:val="TableParagraph"/>
              <w:ind w:left="97" w:right="98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&gt;8 weeks </w:t>
            </w:r>
            <w:r>
              <w:rPr>
                <w:sz w:val="20"/>
              </w:rPr>
              <w:t>after the most recent LabID Event reported for an individual resident.</w:t>
            </w:r>
          </w:p>
          <w:p>
            <w:pPr>
              <w:pStyle w:val="TableParagraph"/>
              <w:spacing w:before="10"/>
              <w:ind w:left="0"/>
              <w:rPr>
                <w:i/>
                <w:sz w:val="25"/>
              </w:rPr>
            </w:pPr>
          </w:p>
          <w:p>
            <w:pPr>
              <w:pStyle w:val="TableParagraph"/>
              <w:ind w:left="97" w:right="10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Recurrent CDI LabID Event</w:t>
            </w:r>
            <w:r>
              <w:rPr>
                <w:sz w:val="20"/>
              </w:rPr>
              <w:t>:  Any LabID Event entered</w:t>
            </w:r>
          </w:p>
          <w:p>
            <w:pPr>
              <w:pStyle w:val="TableParagraph"/>
              <w:ind w:left="97" w:right="97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&gt;2 weeks and </w:t>
            </w:r>
            <w:r>
              <w:rPr>
                <w:b/>
                <w:i/>
                <w:sz w:val="20"/>
                <w:u w:val="single"/>
              </w:rPr>
              <w:t>&lt;</w:t>
            </w:r>
            <w:r>
              <w:rPr>
                <w:b/>
                <w:i/>
                <w:sz w:val="20"/>
              </w:rPr>
              <w:t>8 weeks </w:t>
            </w:r>
            <w:r>
              <w:rPr>
                <w:sz w:val="20"/>
              </w:rPr>
              <w:t>after the most recent LabID Event reported for an individual resident.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4"/>
        <w:rPr>
          <w:i/>
          <w:sz w:val="16"/>
        </w:rPr>
      </w:pPr>
    </w:p>
    <w:p>
      <w:pPr>
        <w:pStyle w:val="BodyText"/>
        <w:tabs>
          <w:tab w:pos="13292" w:val="left" w:leader="none"/>
        </w:tabs>
        <w:spacing w:line="195" w:lineRule="exact" w:before="69"/>
        <w:ind w:left="330"/>
        <w:rPr>
          <w:i/>
        </w:rPr>
      </w:pPr>
      <w:r>
        <w:rPr>
          <w:i/>
        </w:rPr>
        <w:t>Centers for Disease Control and Prevention (CDC)-National Healthcare Safety</w:t>
      </w:r>
      <w:r>
        <w:rPr>
          <w:i/>
          <w:spacing w:val="-25"/>
        </w:rPr>
        <w:t> </w:t>
      </w:r>
      <w:r>
        <w:rPr>
          <w:i/>
        </w:rPr>
        <w:t>Network</w:t>
      </w:r>
      <w:r>
        <w:rPr>
          <w:i/>
          <w:spacing w:val="-4"/>
        </w:rPr>
        <w:t> </w:t>
      </w:r>
      <w:r>
        <w:rPr>
          <w:i/>
        </w:rPr>
        <w:t>(NSHN)</w:t>
        <w:tab/>
        <w:t>NC SPICE,</w:t>
      </w:r>
      <w:r>
        <w:rPr>
          <w:i/>
          <w:spacing w:val="-2"/>
        </w:rPr>
        <w:t> </w:t>
      </w:r>
      <w:r>
        <w:rPr>
          <w:i/>
        </w:rPr>
        <w:t>9/2016</w:t>
      </w:r>
    </w:p>
    <w:p>
      <w:pPr>
        <w:pStyle w:val="BodyText"/>
        <w:tabs>
          <w:tab w:pos="13292" w:val="left" w:leader="none"/>
        </w:tabs>
        <w:spacing w:line="195" w:lineRule="exact"/>
        <w:ind w:left="330"/>
        <w:rPr>
          <w:i/>
        </w:rPr>
      </w:pPr>
      <w:r>
        <w:rPr>
          <w:i/>
        </w:rPr>
        <w:t>Tracking Infections in Long-term Care Facilities accessed 8/5/16</w:t>
      </w:r>
      <w:r>
        <w:rPr>
          <w:i/>
          <w:spacing w:val="-22"/>
        </w:rPr>
        <w:t> </w:t>
      </w:r>
      <w:r>
        <w:rPr>
          <w:i/>
        </w:rPr>
        <w:t>at</w:t>
      </w:r>
      <w:r>
        <w:rPr>
          <w:i/>
          <w:spacing w:val="-3"/>
        </w:rPr>
        <w:t> </w:t>
      </w:r>
      <w:hyperlink r:id="rId5">
        <w:r>
          <w:rPr>
            <w:i/>
            <w:color w:val="0462C1"/>
            <w:u w:val="single" w:color="0462C1"/>
          </w:rPr>
          <w:t>http://www.cdc.gov/nhsn/ltc/index.htm</w:t>
        </w:r>
        <w:r>
          <w:rPr>
            <w:i/>
            <w:color w:val="0462C1"/>
          </w:rPr>
          <w:t>l</w:t>
        </w:r>
      </w:hyperlink>
      <w:r>
        <w:rPr>
          <w:i/>
          <w:color w:val="0462C1"/>
        </w:rPr>
        <w:tab/>
      </w:r>
      <w:r>
        <w:rPr>
          <w:i/>
        </w:rPr>
        <w:t>Page 2 of</w:t>
      </w:r>
      <w:r>
        <w:rPr>
          <w:i/>
          <w:spacing w:val="-4"/>
        </w:rPr>
        <w:t> </w:t>
      </w:r>
      <w:r>
        <w:rPr>
          <w:i/>
        </w:rPr>
        <w:t>2</w:t>
      </w:r>
    </w:p>
    <w:sectPr>
      <w:pgSz w:w="15840" w:h="12240" w:orient="landscape"/>
      <w:pgMar w:top="50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"/>
      <w:lvlJc w:val="left"/>
      <w:pPr>
        <w:ind w:left="818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58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1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14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"/>
      <w:lvlJc w:val="left"/>
      <w:pPr>
        <w:ind w:left="367" w:hanging="269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12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65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8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0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3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76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28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81" w:hanging="26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"/>
      <w:lvlJc w:val="left"/>
      <w:pPr>
        <w:ind w:left="367" w:hanging="269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5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1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8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88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9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9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05" w:hanging="26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"/>
      <w:lvlJc w:val="left"/>
      <w:pPr>
        <w:ind w:left="1178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1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18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863" w:hanging="361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5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99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864" w:hanging="361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5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9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99" w:hanging="36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818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"/>
      <w:lvlJc w:val="left"/>
      <w:pPr>
        <w:ind w:left="909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65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3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4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459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4" w:hanging="36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8"/>
      <w:ind w:left="863" w:hanging="360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8"/>
      <w:ind w:left="863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9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dc.gov/nhsn/ltc/index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Ridge, Heather Thomas</dc:creator>
  <dcterms:created xsi:type="dcterms:W3CDTF">2020-05-06T09:15:36Z</dcterms:created>
  <dcterms:modified xsi:type="dcterms:W3CDTF">2020-05-06T09:15:36Z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