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4138" w:right="4115" w:firstLine="0"/>
        <w:jc w:val="center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574.593994pt;width:719.8pt;height:33.35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b/>
                      <w:i/>
                      <w:sz w:val="23"/>
                    </w:rPr>
                  </w:pPr>
                </w:p>
                <w:p>
                  <w:pPr>
                    <w:pStyle w:val="BodyText"/>
                    <w:ind w:right="476"/>
                    <w:jc w:val="right"/>
                    <w:rPr>
                      <w:i/>
                    </w:rPr>
                  </w:pPr>
                  <w:r>
                    <w:rPr>
                      <w:i/>
                    </w:rPr>
                    <w:t>Page 1 of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6.349976pt;margin-top:.050068pt;width:178.2pt;height:35.4pt;mso-position-horizontal-relative:page;mso-position-vertical-relative:paragraph;z-index:1120" type="#_x0000_t202" filled="false" stroked="true" strokeweight="2.25pt" strokecolor="#000000">
            <v:textbox inset="0,0,0,0">
              <w:txbxContent>
                <w:p>
                  <w:pPr>
                    <w:spacing w:before="71"/>
                    <w:ind w:left="145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>Type of Infection:</w:t>
                  </w:r>
                </w:p>
              </w:txbxContent>
            </v:textbox>
            <v:stroke dashstyle="dash"/>
            <w10:wrap type="none"/>
          </v:shape>
        </w:pict>
      </w:r>
      <w:r>
        <w:rPr>
          <w:b/>
          <w:sz w:val="28"/>
        </w:rPr>
        <w:t>LTC Skin, Soft Tissue, and Mucosal Infection Worksheet</w:t>
      </w:r>
    </w:p>
    <w:p>
      <w:pPr>
        <w:spacing w:before="27"/>
        <w:ind w:left="4130" w:right="4115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(McGeer Criteria 2012)</w:t>
      </w:r>
    </w:p>
    <w:p>
      <w:pPr>
        <w:spacing w:line="240" w:lineRule="auto" w:before="3" w:after="1"/>
        <w:rPr>
          <w:b/>
          <w:i/>
          <w:sz w:val="13"/>
        </w:rPr>
      </w:pPr>
    </w:p>
    <w:tbl>
      <w:tblPr>
        <w:tblW w:w="0" w:type="auto"/>
        <w:jc w:val="left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6"/>
        <w:gridCol w:w="2520"/>
        <w:gridCol w:w="2436"/>
        <w:gridCol w:w="5060"/>
      </w:tblGrid>
      <w:tr>
        <w:trPr>
          <w:trHeight w:val="605" w:hRule="exact"/>
        </w:trPr>
        <w:tc>
          <w:tcPr>
            <w:tcW w:w="4386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Resident Name</w:t>
            </w:r>
          </w:p>
        </w:tc>
        <w:tc>
          <w:tcPr>
            <w:tcW w:w="2520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MR#</w:t>
            </w:r>
          </w:p>
        </w:tc>
        <w:tc>
          <w:tcPr>
            <w:tcW w:w="2436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of Admission</w:t>
            </w:r>
          </w:p>
        </w:tc>
        <w:tc>
          <w:tcPr>
            <w:tcW w:w="5060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Resident Location (hall/room #)</w:t>
            </w:r>
          </w:p>
        </w:tc>
      </w:tr>
      <w:tr>
        <w:trPr>
          <w:trHeight w:val="1193" w:hRule="exact"/>
        </w:trPr>
        <w:tc>
          <w:tcPr>
            <w:tcW w:w="6906" w:type="dxa"/>
            <w:gridSpan w:val="2"/>
          </w:tcPr>
          <w:p>
            <w:pPr>
              <w:pStyle w:val="TableParagraph"/>
              <w:ind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Relevant findings (source, culture date, organism(s), vital signs, etc.)</w:t>
            </w:r>
          </w:p>
          <w:p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MDRO?</w:t>
            </w:r>
          </w:p>
        </w:tc>
        <w:tc>
          <w:tcPr>
            <w:tcW w:w="2436" w:type="dxa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of ONSET of S&amp;S</w:t>
            </w:r>
          </w:p>
        </w:tc>
        <w:tc>
          <w:tcPr>
            <w:tcW w:w="5060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59" w:val="left" w:leader="none"/>
              </w:tabs>
              <w:spacing w:line="292" w:lineRule="exact" w:before="0" w:after="0"/>
              <w:ind w:left="459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&lt; </w:t>
            </w:r>
            <w:r>
              <w:rPr>
                <w:b/>
                <w:sz w:val="24"/>
              </w:rPr>
              <w:t>2 calendar days = Community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Acquired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59" w:val="left" w:leader="none"/>
              </w:tabs>
              <w:spacing w:line="240" w:lineRule="auto" w:before="0" w:after="0"/>
              <w:ind w:left="459" w:right="753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&gt; 2 calendar days after admit =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Facility Acquired</w:t>
            </w:r>
          </w:p>
        </w:tc>
      </w:tr>
      <w:tr>
        <w:trPr>
          <w:trHeight w:val="605" w:hRule="exact"/>
        </w:trPr>
        <w:tc>
          <w:tcPr>
            <w:tcW w:w="6906" w:type="dxa"/>
            <w:gridSpan w:val="2"/>
            <w:shd w:val="clear" w:color="auto" w:fill="F1F1F1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of Infection</w:t>
            </w:r>
          </w:p>
        </w:tc>
        <w:tc>
          <w:tcPr>
            <w:tcW w:w="7496" w:type="dxa"/>
            <w:gridSpan w:val="2"/>
            <w:shd w:val="clear" w:color="auto" w:fill="F1F1F1"/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 completing form</w:t>
            </w:r>
          </w:p>
        </w:tc>
      </w:tr>
    </w:tbl>
    <w:p>
      <w:pPr>
        <w:spacing w:line="240" w:lineRule="auto" w:before="1" w:after="1"/>
        <w:rPr>
          <w:b/>
          <w:i/>
          <w:sz w:val="26"/>
        </w:rPr>
      </w:pPr>
    </w:p>
    <w:tbl>
      <w:tblPr>
        <w:tblW w:w="0" w:type="auto"/>
        <w:jc w:val="left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742"/>
        <w:gridCol w:w="4680"/>
      </w:tblGrid>
      <w:tr>
        <w:trPr>
          <w:trHeight w:val="823" w:hRule="exac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spacing w:before="59"/>
              <w:ind w:left="460" w:right="442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Type of Infection</w:t>
            </w:r>
          </w:p>
        </w:tc>
        <w:tc>
          <w:tcPr>
            <w:tcW w:w="7742" w:type="dxa"/>
            <w:shd w:val="clear" w:color="auto" w:fill="D9D9D9"/>
          </w:tcPr>
          <w:p>
            <w:pPr>
              <w:pStyle w:val="TableParagraph"/>
              <w:spacing w:before="232"/>
              <w:ind w:left="2645" w:right="2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Signs and Symptoms</w:t>
            </w:r>
          </w:p>
        </w:tc>
        <w:tc>
          <w:tcPr>
            <w:tcW w:w="4680" w:type="dxa"/>
            <w:shd w:val="clear" w:color="auto" w:fill="D9D9D9"/>
          </w:tcPr>
          <w:p>
            <w:pPr>
              <w:pStyle w:val="TableParagraph"/>
              <w:spacing w:before="232"/>
              <w:ind w:left="108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>
        <w:trPr>
          <w:trHeight w:val="4501" w:hRule="exac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7"/>
              <w:ind w:left="0"/>
              <w:rPr>
                <w:b/>
                <w:i/>
                <w:sz w:val="27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9" w:val="left" w:leader="none"/>
              </w:tabs>
              <w:spacing w:line="240" w:lineRule="auto" w:before="1" w:after="0"/>
              <w:ind w:left="458" w:right="149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Cellulitis, soft tissue, or wound</w:t>
            </w:r>
          </w:p>
        </w:tc>
        <w:tc>
          <w:tcPr>
            <w:tcW w:w="7742" w:type="dxa"/>
          </w:tcPr>
          <w:p>
            <w:pPr>
              <w:pStyle w:val="TableParagraph"/>
              <w:tabs>
                <w:tab w:pos="508" w:val="left" w:leader="none"/>
              </w:tabs>
              <w:spacing w:before="5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at least 1 of the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following:</w:t>
            </w:r>
          </w:p>
          <w:p>
            <w:pPr>
              <w:pStyle w:val="TableParagraph"/>
              <w:tabs>
                <w:tab w:pos="474" w:val="left" w:leader="none"/>
              </w:tabs>
              <w:spacing w:before="10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Pus present at a wound, skin, or soft tissue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  <w:p>
            <w:pPr>
              <w:pStyle w:val="TableParagraph"/>
              <w:tabs>
                <w:tab w:pos="474" w:val="left" w:leader="none"/>
              </w:tabs>
              <w:spacing w:before="10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New or increasing presence of at least 4 of the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following: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39" w:val="left" w:leader="none"/>
              </w:tabs>
              <w:spacing w:line="240" w:lineRule="auto" w:before="98" w:after="0"/>
              <w:ind w:left="1538" w:right="0" w:hanging="360"/>
              <w:jc w:val="left"/>
              <w:rPr>
                <w:rFonts w:ascii="Wingdings"/>
                <w:sz w:val="22"/>
              </w:rPr>
            </w:pPr>
            <w:r>
              <w:rPr>
                <w:sz w:val="22"/>
              </w:rPr>
              <w:t>Heat at the affected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39" w:val="left" w:leader="none"/>
              </w:tabs>
              <w:spacing w:line="240" w:lineRule="auto" w:before="41" w:after="0"/>
              <w:ind w:left="1538" w:right="0" w:hanging="360"/>
              <w:jc w:val="left"/>
              <w:rPr>
                <w:rFonts w:ascii="Wingdings"/>
                <w:sz w:val="22"/>
              </w:rPr>
            </w:pPr>
            <w:r>
              <w:rPr>
                <w:sz w:val="22"/>
              </w:rPr>
              <w:t>Redness at the affected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39" w:val="left" w:leader="none"/>
              </w:tabs>
              <w:spacing w:line="240" w:lineRule="auto" w:before="41" w:after="0"/>
              <w:ind w:left="1538" w:right="0" w:hanging="360"/>
              <w:jc w:val="left"/>
              <w:rPr>
                <w:rFonts w:ascii="Wingdings"/>
                <w:sz w:val="24"/>
              </w:rPr>
            </w:pPr>
            <w:r>
              <w:rPr>
                <w:sz w:val="22"/>
              </w:rPr>
              <w:t>Swelling at the affected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39" w:val="left" w:leader="none"/>
              </w:tabs>
              <w:spacing w:line="240" w:lineRule="auto" w:before="39" w:after="0"/>
              <w:ind w:left="1538" w:right="0" w:hanging="360"/>
              <w:jc w:val="left"/>
              <w:rPr>
                <w:rFonts w:ascii="Wingdings"/>
                <w:sz w:val="24"/>
              </w:rPr>
            </w:pPr>
            <w:r>
              <w:rPr>
                <w:sz w:val="22"/>
              </w:rPr>
              <w:t>Tenderness or pain at the affected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39" w:val="left" w:leader="none"/>
              </w:tabs>
              <w:spacing w:line="240" w:lineRule="auto" w:before="39" w:after="0"/>
              <w:ind w:left="1538" w:right="0" w:hanging="360"/>
              <w:jc w:val="left"/>
              <w:rPr>
                <w:rFonts w:ascii="Wingdings"/>
                <w:sz w:val="24"/>
              </w:rPr>
            </w:pPr>
            <w:r>
              <w:rPr>
                <w:sz w:val="22"/>
              </w:rPr>
              <w:t>Serous drainage at the affected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site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539" w:val="left" w:leader="none"/>
              </w:tabs>
              <w:spacing w:line="240" w:lineRule="auto" w:before="39" w:after="0"/>
              <w:ind w:left="1538" w:right="0" w:hanging="360"/>
              <w:jc w:val="left"/>
              <w:rPr>
                <w:rFonts w:ascii="Wingdings"/>
                <w:sz w:val="24"/>
              </w:rPr>
            </w:pPr>
            <w:r>
              <w:rPr>
                <w:sz w:val="22"/>
              </w:rPr>
              <w:t>One constitutional criterion (Refer to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Appendix):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2259" w:val="left" w:leader="none"/>
              </w:tabs>
              <w:spacing w:line="240" w:lineRule="auto" w:before="43" w:after="0"/>
              <w:ind w:left="225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Fever*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2259" w:val="left" w:leader="none"/>
              </w:tabs>
              <w:spacing w:line="240" w:lineRule="auto" w:before="35" w:after="0"/>
              <w:ind w:left="225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Leukocytosis*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2259" w:val="left" w:leader="none"/>
              </w:tabs>
              <w:spacing w:line="240" w:lineRule="auto" w:before="38" w:after="0"/>
              <w:ind w:left="225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Acute change in mental status from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baseline*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2259" w:val="left" w:leader="none"/>
              </w:tabs>
              <w:spacing w:line="240" w:lineRule="auto" w:before="35" w:after="0"/>
              <w:ind w:left="2259" w:right="0" w:hanging="360"/>
              <w:jc w:val="left"/>
              <w:rPr>
                <w:sz w:val="24"/>
              </w:rPr>
            </w:pPr>
            <w:r>
              <w:rPr>
                <w:sz w:val="24"/>
              </w:rPr>
              <w:t>Acute functional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decline*</w:t>
            </w:r>
          </w:p>
        </w:tc>
        <w:tc>
          <w:tcPr>
            <w:tcW w:w="4680" w:type="dxa"/>
            <w:shd w:val="clear" w:color="auto" w:fill="D9D9D9"/>
          </w:tcPr>
          <w:p>
            <w:pPr>
              <w:pStyle w:val="TableParagraph"/>
              <w:spacing w:before="59"/>
              <w:ind w:left="108" w:right="10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Presence of organisms cultured from the surface (e.g., superficial swab sample) of a wound is </w:t>
            </w:r>
            <w:r>
              <w:rPr>
                <w:b/>
                <w:sz w:val="20"/>
              </w:rPr>
              <w:t>NOT </w:t>
            </w:r>
            <w:r>
              <w:rPr>
                <w:sz w:val="20"/>
              </w:rPr>
              <w:t>sufficient evidence that the wound is infected. </w:t>
            </w:r>
            <w:r>
              <w:rPr>
                <w:b/>
                <w:sz w:val="20"/>
              </w:rPr>
              <w:t>More than 1 resident with streptococcal skin infection from the same serogroup (e.g., A, B, C, G) in a long-term care facility may indicate an outbreak.</w:t>
            </w:r>
          </w:p>
        </w:tc>
      </w:tr>
      <w:tr>
        <w:trPr>
          <w:trHeight w:val="1464" w:hRule="exac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59" w:val="left" w:leader="none"/>
              </w:tabs>
              <w:spacing w:line="240" w:lineRule="auto" w:before="233" w:after="0"/>
              <w:ind w:left="458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Conjunctivitis</w:t>
            </w:r>
          </w:p>
        </w:tc>
        <w:tc>
          <w:tcPr>
            <w:tcW w:w="7742" w:type="dxa"/>
          </w:tcPr>
          <w:p>
            <w:pPr>
              <w:pStyle w:val="TableParagraph"/>
              <w:tabs>
                <w:tab w:pos="507" w:val="left" w:leader="none"/>
              </w:tabs>
              <w:spacing w:before="6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at least 1 of the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40" w:lineRule="auto" w:before="10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Pus appearing from 1 or both eyes, present for at least 24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New or increased conjunctival erythema, with or without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itching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819" w:val="left" w:leader="none"/>
              </w:tabs>
              <w:spacing w:line="240" w:lineRule="auto" w:before="38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New or increased conjunctival pain, present for at least 24</w:t>
            </w:r>
            <w:r>
              <w:rPr>
                <w:spacing w:val="-19"/>
                <w:sz w:val="22"/>
              </w:rPr>
              <w:t> </w:t>
            </w:r>
            <w:r>
              <w:rPr>
                <w:sz w:val="22"/>
              </w:rPr>
              <w:t>hours</w:t>
            </w:r>
          </w:p>
        </w:tc>
        <w:tc>
          <w:tcPr>
            <w:tcW w:w="4680" w:type="dxa"/>
            <w:shd w:val="clear" w:color="auto" w:fill="D9D9D9"/>
          </w:tcPr>
          <w:p>
            <w:pPr>
              <w:pStyle w:val="TableParagraph"/>
              <w:spacing w:before="61"/>
              <w:ind w:left="938" w:right="229" w:hanging="694"/>
              <w:rPr>
                <w:sz w:val="20"/>
              </w:rPr>
            </w:pPr>
            <w:r>
              <w:rPr>
                <w:sz w:val="20"/>
              </w:rPr>
              <w:t>Conjunctivitis symptoms (“pink eye”) should not be due to allergic reaction or trauma.</w:t>
            </w:r>
          </w:p>
        </w:tc>
      </w:tr>
    </w:tbl>
    <w:p>
      <w:pPr>
        <w:spacing w:line="240" w:lineRule="auto" w:before="5"/>
        <w:rPr>
          <w:b/>
          <w:i/>
          <w:sz w:val="11"/>
        </w:rPr>
      </w:pPr>
      <w:r>
        <w:rPr/>
        <w:pict>
          <v:group style="position:absolute;margin-left:36pt;margin-top:8.938pt;width:719.8pt;height:33.35pt;mso-position-horizontal-relative:page;mso-position-vertical-relative:paragraph;z-index:1072;mso-wrap-distance-left:0;mso-wrap-distance-right:0" coordorigin="720,179" coordsize="14396,667">
            <v:rect style="position:absolute;left:720;top:179;width:14396;height:667" filled="true" fillcolor="#ffffff" stroked="false">
              <v:fill type="solid"/>
            </v:rect>
            <v:shape style="position:absolute;left:874;top:292;width:6276;height:358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Surveillance Definitions of Infections in Long-Term Care Facilities: Revisiting the McGeer Criteria.</w:t>
                    </w:r>
                  </w:p>
                  <w:p>
                    <w:pPr>
                      <w:spacing w:line="193" w:lineRule="exact" w:before="1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Infection Control Hospital Epidemiology 2012;33(10):965-977</w:t>
                    </w:r>
                  </w:p>
                </w:txbxContent>
              </v:textbox>
              <w10:wrap type="none"/>
            </v:shape>
            <v:shape style="position:absolute;left:13836;top:292;width:1146;height:358" type="#_x0000_t202" filled="false" stroked="false">
              <v:textbox inset="0,0,0,0">
                <w:txbxContent>
                  <w:p>
                    <w:pPr>
                      <w:spacing w:line="164" w:lineRule="exact" w:before="0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NC SPICE, 9/2016</w:t>
                    </w:r>
                  </w:p>
                  <w:p>
                    <w:pPr>
                      <w:spacing w:line="193" w:lineRule="exact" w:before="1"/>
                      <w:ind w:left="0" w:right="0" w:firstLine="0"/>
                      <w:jc w:val="lef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Page 1 of 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1"/>
        </w:rPr>
        <w:sectPr>
          <w:type w:val="continuous"/>
          <w:pgSz w:w="15840" w:h="12240" w:orient="landscape"/>
          <w:pgMar w:top="960" w:bottom="0" w:left="560" w:right="580"/>
        </w:sect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742"/>
        <w:gridCol w:w="4680"/>
      </w:tblGrid>
      <w:tr>
        <w:trPr>
          <w:trHeight w:val="824" w:hRule="exac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spacing w:before="59"/>
              <w:ind w:left="460" w:right="442" w:firstLine="86"/>
              <w:rPr>
                <w:b/>
                <w:sz w:val="28"/>
              </w:rPr>
            </w:pPr>
            <w:r>
              <w:rPr>
                <w:b/>
                <w:sz w:val="28"/>
              </w:rPr>
              <w:t>Type of Infection</w:t>
            </w:r>
          </w:p>
        </w:tc>
        <w:tc>
          <w:tcPr>
            <w:tcW w:w="7742" w:type="dxa"/>
            <w:shd w:val="clear" w:color="auto" w:fill="D9D9D9"/>
          </w:tcPr>
          <w:p>
            <w:pPr>
              <w:pStyle w:val="TableParagraph"/>
              <w:spacing w:before="230"/>
              <w:ind w:left="2645" w:right="26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Signs and Symptoms</w:t>
            </w:r>
          </w:p>
        </w:tc>
        <w:tc>
          <w:tcPr>
            <w:tcW w:w="4680" w:type="dxa"/>
            <w:shd w:val="clear" w:color="auto" w:fill="D9D9D9"/>
          </w:tcPr>
          <w:p>
            <w:pPr>
              <w:pStyle w:val="TableParagraph"/>
              <w:spacing w:before="230"/>
              <w:ind w:left="108" w:right="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>
        <w:trPr>
          <w:trHeight w:val="1860" w:hRule="exact"/>
        </w:trPr>
        <w:tc>
          <w:tcPr>
            <w:tcW w:w="1980" w:type="dxa"/>
            <w:shd w:val="clear" w:color="auto" w:fill="D9D9D9"/>
          </w:tcPr>
          <w:p>
            <w:pPr>
              <w:pStyle w:val="TableParagraph"/>
              <w:ind w:left="0"/>
              <w:rPr>
                <w:b/>
                <w:i/>
                <w:sz w:val="28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i/>
                <w:sz w:val="35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Scabies</w:t>
            </w:r>
          </w:p>
        </w:tc>
        <w:tc>
          <w:tcPr>
            <w:tcW w:w="7742" w:type="dxa"/>
          </w:tcPr>
          <w:p>
            <w:pPr>
              <w:pStyle w:val="TableParagraph"/>
              <w:tabs>
                <w:tab w:pos="508" w:val="left" w:leader="none"/>
              </w:tabs>
              <w:spacing w:before="5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 maculopapular and/or itching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rash</w:t>
            </w:r>
          </w:p>
          <w:p>
            <w:pPr>
              <w:pStyle w:val="TableParagraph"/>
              <w:tabs>
                <w:tab w:pos="507" w:val="left" w:leader="none"/>
              </w:tabs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at least 1 of the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following: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10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Physician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diagnosis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Laboratory confirmation (scraping or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biopsy)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819" w:val="left" w:leader="none"/>
              </w:tabs>
              <w:spacing w:line="240" w:lineRule="auto" w:before="40" w:after="0"/>
              <w:ind w:left="818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Epidemiologic linkage to a case of scabies with laboratory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confirmation</w:t>
            </w:r>
          </w:p>
        </w:tc>
        <w:tc>
          <w:tcPr>
            <w:tcW w:w="4680" w:type="dxa"/>
            <w:shd w:val="clear" w:color="auto" w:fill="D9D9D9"/>
          </w:tcPr>
          <w:p>
            <w:pPr>
              <w:pStyle w:val="TableParagraph"/>
              <w:spacing w:before="59"/>
              <w:ind w:right="99" w:hanging="2"/>
              <w:jc w:val="center"/>
              <w:rPr>
                <w:sz w:val="20"/>
              </w:rPr>
            </w:pPr>
            <w:r>
              <w:rPr>
                <w:sz w:val="20"/>
              </w:rPr>
              <w:t>An epidemiologic linkage to a case can be considered if there is evidence of geographic proximity in the facility, temporal relationship to the onset of symptoms, or evidence of common source of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exposure (i.e., shared caregiver). Care must be taken to rule out rashes due to skin irritation, allergic reactions,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eczema, and other noninfectious skin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conditions.</w:t>
            </w:r>
          </w:p>
        </w:tc>
      </w:tr>
      <w:tr>
        <w:trPr>
          <w:trHeight w:val="1609" w:hRule="exact"/>
        </w:trPr>
        <w:tc>
          <w:tcPr>
            <w:tcW w:w="1980" w:type="dxa"/>
            <w:vMerge w:val="restart"/>
            <w:shd w:val="clear" w:color="auto" w:fill="D9D9D9"/>
          </w:tcPr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11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59" w:val="left" w:leader="none"/>
              </w:tabs>
              <w:spacing w:line="240" w:lineRule="auto" w:before="1" w:after="0"/>
              <w:ind w:left="458" w:right="128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Fungal oral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or perioral and skin</w:t>
            </w:r>
          </w:p>
        </w:tc>
        <w:tc>
          <w:tcPr>
            <w:tcW w:w="7742" w:type="dxa"/>
          </w:tcPr>
          <w:p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Oral candidiasis</w:t>
            </w:r>
          </w:p>
          <w:p>
            <w:pPr>
              <w:pStyle w:val="TableParagraph"/>
              <w:tabs>
                <w:tab w:pos="507" w:val="left" w:leader="none"/>
              </w:tabs>
              <w:spacing w:line="276" w:lineRule="auto" w:before="103"/>
              <w:ind w:left="530" w:right="331" w:hanging="43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presence of raised white patches on inflamed</w:t>
            </w:r>
            <w:r>
              <w:rPr>
                <w:b/>
                <w:spacing w:val="-27"/>
                <w:sz w:val="24"/>
              </w:rPr>
              <w:t> </w:t>
            </w:r>
            <w:r>
              <w:rPr>
                <w:b/>
                <w:sz w:val="24"/>
              </w:rPr>
              <w:t>mucosa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or plaques on oral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mucosa</w:t>
            </w:r>
          </w:p>
          <w:p>
            <w:pPr>
              <w:pStyle w:val="TableParagraph"/>
              <w:tabs>
                <w:tab w:pos="507" w:val="left" w:leader="none"/>
              </w:tabs>
              <w:spacing w:before="60"/>
              <w:rPr>
                <w:b/>
                <w:sz w:val="24"/>
              </w:rPr>
            </w:pPr>
            <w:r>
              <w:rPr>
                <w:b/>
                <w:position w:val="3"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diagnosis by a medical or dental</w:t>
            </w:r>
            <w:r>
              <w:rPr>
                <w:b/>
                <w:spacing w:val="-20"/>
                <w:sz w:val="24"/>
              </w:rPr>
              <w:t> </w:t>
            </w:r>
            <w:r>
              <w:rPr>
                <w:b/>
                <w:sz w:val="24"/>
              </w:rPr>
              <w:t>provider</w:t>
            </w:r>
          </w:p>
        </w:tc>
        <w:tc>
          <w:tcPr>
            <w:tcW w:w="4680" w:type="dxa"/>
            <w:vMerge w:val="restart"/>
            <w:shd w:val="clear" w:color="auto" w:fill="D9D9D9"/>
          </w:tcPr>
          <w:p>
            <w:pPr>
              <w:pStyle w:val="TableParagraph"/>
              <w:spacing w:before="55"/>
              <w:ind w:left="100" w:right="100" w:hanging="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sz w:val="20"/>
              </w:rPr>
              <w:t>Mucocutaneous </w:t>
            </w:r>
            <w:r>
              <w:rPr>
                <w:rFonts w:ascii="Times New Roman"/>
                <w:i/>
                <w:sz w:val="20"/>
              </w:rPr>
              <w:t>Candida </w:t>
            </w:r>
            <w:r>
              <w:rPr>
                <w:rFonts w:ascii="Times New Roman"/>
                <w:sz w:val="20"/>
              </w:rPr>
              <w:t>infections are usually due to underlying clinical conditions such as poorly</w:t>
            </w:r>
            <w:r>
              <w:rPr>
                <w:rFonts w:ascii="Times New Roman"/>
                <w:spacing w:val="-2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controlled diabetes or severe immunosuppression. </w:t>
            </w:r>
            <w:r>
              <w:rPr>
                <w:rFonts w:ascii="Times New Roman"/>
                <w:b/>
                <w:sz w:val="20"/>
              </w:rPr>
              <w:t>Although they are not transmissible infections in the healthcare setting, they can be a marker for increased antibiotic</w:t>
            </w:r>
            <w:r>
              <w:rPr>
                <w:rFonts w:asci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exposure.</w:t>
            </w: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i/>
                <w:sz w:val="31"/>
              </w:rPr>
            </w:pPr>
          </w:p>
          <w:p>
            <w:pPr>
              <w:pStyle w:val="TableParagraph"/>
              <w:ind w:left="107" w:right="10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Dermatophytes haven been known to cause occasional infections and rare outbreaks in the LTCF setting.</w:t>
            </w:r>
          </w:p>
        </w:tc>
      </w:tr>
      <w:tr>
        <w:trPr>
          <w:trHeight w:val="1608" w:hRule="exact"/>
        </w:trPr>
        <w:tc>
          <w:tcPr>
            <w:tcW w:w="1980" w:type="dxa"/>
            <w:vMerge/>
            <w:shd w:val="clear" w:color="auto" w:fill="D9D9D9"/>
          </w:tcPr>
          <w:p>
            <w:pPr/>
          </w:p>
        </w:tc>
        <w:tc>
          <w:tcPr>
            <w:tcW w:w="7742" w:type="dxa"/>
          </w:tcPr>
          <w:p>
            <w:pPr>
              <w:pStyle w:val="TableParagraph"/>
              <w:spacing w:before="59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Fungal skin infection</w:t>
            </w:r>
          </w:p>
          <w:p>
            <w:pPr>
              <w:pStyle w:val="TableParagraph"/>
              <w:tabs>
                <w:tab w:pos="507" w:val="left" w:leader="none"/>
              </w:tabs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characteristic rash or</w:t>
            </w:r>
            <w:r>
              <w:rPr>
                <w:b/>
                <w:spacing w:val="-18"/>
                <w:sz w:val="24"/>
              </w:rPr>
              <w:t> </w:t>
            </w:r>
            <w:r>
              <w:rPr>
                <w:b/>
                <w:sz w:val="24"/>
              </w:rPr>
              <w:t>lesions</w:t>
            </w:r>
          </w:p>
          <w:p>
            <w:pPr>
              <w:pStyle w:val="TableParagraph"/>
              <w:tabs>
                <w:tab w:pos="507" w:val="left" w:leader="none"/>
              </w:tabs>
              <w:spacing w:line="278" w:lineRule="auto" w:before="103"/>
              <w:ind w:left="530" w:right="534" w:hanging="43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either a diagnosis by a medical provider</w:t>
            </w:r>
            <w:r>
              <w:rPr>
                <w:b/>
                <w:spacing w:val="-23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laboratory- confirmed fungal pathogen from a scraping or a medical</w:t>
            </w:r>
            <w:r>
              <w:rPr>
                <w:b/>
                <w:spacing w:val="-28"/>
                <w:sz w:val="24"/>
              </w:rPr>
              <w:t> </w:t>
            </w:r>
            <w:r>
              <w:rPr>
                <w:b/>
                <w:sz w:val="24"/>
              </w:rPr>
              <w:t>biopsy</w:t>
            </w:r>
          </w:p>
        </w:tc>
        <w:tc>
          <w:tcPr>
            <w:tcW w:w="4680" w:type="dxa"/>
            <w:vMerge/>
            <w:shd w:val="clear" w:color="auto" w:fill="D9D9D9"/>
          </w:tcPr>
          <w:p>
            <w:pPr/>
          </w:p>
        </w:tc>
      </w:tr>
      <w:tr>
        <w:trPr>
          <w:trHeight w:val="1270" w:hRule="exact"/>
        </w:trPr>
        <w:tc>
          <w:tcPr>
            <w:tcW w:w="1980" w:type="dxa"/>
            <w:vMerge w:val="restart"/>
            <w:shd w:val="clear" w:color="auto" w:fill="D9D9D9"/>
          </w:tcPr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i/>
                <w:sz w:val="31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59" w:val="left" w:leader="none"/>
              </w:tabs>
              <w:spacing w:line="242" w:lineRule="auto" w:before="0" w:after="0"/>
              <w:ind w:left="458" w:right="260" w:hanging="3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Herpes virus skin</w:t>
            </w:r>
          </w:p>
        </w:tc>
        <w:tc>
          <w:tcPr>
            <w:tcW w:w="7742" w:type="dxa"/>
          </w:tcPr>
          <w:p>
            <w:pPr>
              <w:pStyle w:val="TableParagraph"/>
              <w:spacing w:before="6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Herpes simplex infection</w:t>
            </w:r>
          </w:p>
          <w:p>
            <w:pPr>
              <w:pStyle w:val="TableParagraph"/>
              <w:tabs>
                <w:tab w:pos="507" w:val="left" w:leader="none"/>
              </w:tabs>
              <w:spacing w:before="105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 vesicular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rash</w:t>
            </w:r>
          </w:p>
          <w:p>
            <w:pPr>
              <w:pStyle w:val="TableParagraph"/>
              <w:spacing w:before="102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MUST HAVE either physician diagnosis or laboratory confirmation</w:t>
            </w:r>
          </w:p>
        </w:tc>
        <w:tc>
          <w:tcPr>
            <w:tcW w:w="4680" w:type="dxa"/>
            <w:vMerge w:val="restart"/>
            <w:shd w:val="clear" w:color="auto" w:fill="D9D9D9"/>
          </w:tcPr>
          <w:p>
            <w:pPr>
              <w:pStyle w:val="TableParagraph"/>
              <w:spacing w:before="59"/>
              <w:ind w:left="134" w:right="139" w:firstLine="2"/>
              <w:jc w:val="center"/>
              <w:rPr>
                <w:sz w:val="20"/>
              </w:rPr>
            </w:pPr>
            <w:r>
              <w:rPr>
                <w:sz w:val="20"/>
              </w:rPr>
              <w:t>Reactivation of herpes simplex (“cold sores”) or herpes zoster (“shingles”) is not considered a healthcare-associated infection. Primary herpes virus skin infections are very uncommon in a LTCF except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in pediatric populations, where it should be considered healthcare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associated.</w:t>
            </w:r>
          </w:p>
        </w:tc>
      </w:tr>
      <w:tr>
        <w:trPr>
          <w:trHeight w:val="1272" w:hRule="exact"/>
        </w:trPr>
        <w:tc>
          <w:tcPr>
            <w:tcW w:w="1980" w:type="dxa"/>
            <w:vMerge/>
            <w:shd w:val="clear" w:color="auto" w:fill="D9D9D9"/>
          </w:tcPr>
          <w:p>
            <w:pPr/>
          </w:p>
        </w:tc>
        <w:tc>
          <w:tcPr>
            <w:tcW w:w="7742" w:type="dxa"/>
          </w:tcPr>
          <w:p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Herpes zoster infection</w:t>
            </w:r>
          </w:p>
          <w:p>
            <w:pPr>
              <w:pStyle w:val="TableParagraph"/>
              <w:tabs>
                <w:tab w:pos="507" w:val="left" w:leader="none"/>
              </w:tabs>
              <w:spacing w:before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a vesicular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rash</w:t>
            </w:r>
          </w:p>
          <w:p>
            <w:pPr>
              <w:pStyle w:val="TableParagraph"/>
              <w:tabs>
                <w:tab w:pos="507" w:val="left" w:leader="none"/>
              </w:tabs>
              <w:spacing w:before="103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b/>
                <w:sz w:val="24"/>
              </w:rPr>
              <w:t>MUST HAVE either physician diagnosis or laboratory</w:t>
            </w:r>
            <w:r>
              <w:rPr>
                <w:b/>
                <w:spacing w:val="-32"/>
                <w:sz w:val="24"/>
              </w:rPr>
              <w:t> </w:t>
            </w:r>
            <w:r>
              <w:rPr>
                <w:b/>
                <w:sz w:val="24"/>
              </w:rPr>
              <w:t>confirmation</w:t>
            </w:r>
          </w:p>
        </w:tc>
        <w:tc>
          <w:tcPr>
            <w:tcW w:w="4680" w:type="dxa"/>
            <w:vMerge/>
            <w:shd w:val="clear" w:color="auto" w:fill="D9D9D9"/>
          </w:tcPr>
          <w:p>
            <w:pPr/>
          </w:p>
        </w:tc>
      </w:tr>
      <w:tr>
        <w:trPr>
          <w:trHeight w:val="1503" w:hRule="exact"/>
        </w:trPr>
        <w:tc>
          <w:tcPr>
            <w:tcW w:w="14402" w:type="dxa"/>
            <w:gridSpan w:val="3"/>
            <w:shd w:val="clear" w:color="auto" w:fill="D9D9D9"/>
          </w:tcPr>
          <w:p>
            <w:pPr>
              <w:pStyle w:val="TableParagraph"/>
              <w:spacing w:before="5"/>
              <w:ind w:left="0"/>
              <w:rPr>
                <w:b/>
                <w:i/>
                <w:sz w:val="22"/>
              </w:rPr>
            </w:pPr>
          </w:p>
          <w:p>
            <w:pPr>
              <w:pStyle w:val="TableParagraph"/>
              <w:ind w:left="429" w:right="43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For wound infections related to surgical procedures, LTCFs should use the CDC NHSN Surgical Site Infection (SSI) criteria and report these </w:t>
            </w:r>
            <w:r>
              <w:rPr>
                <w:b/>
                <w:i/>
                <w:sz w:val="24"/>
              </w:rPr>
              <w:t>infections back to the institution where the original surgery was performed.</w:t>
            </w:r>
          </w:p>
          <w:p>
            <w:pPr>
              <w:pStyle w:val="TableParagraph"/>
              <w:spacing w:before="59"/>
              <w:ind w:left="429" w:right="373"/>
              <w:jc w:val="center"/>
              <w:rPr>
                <w:sz w:val="24"/>
              </w:rPr>
            </w:pPr>
            <w:hyperlink r:id="rId6">
              <w:r>
                <w:rPr>
                  <w:color w:val="0462C1"/>
                  <w:sz w:val="24"/>
                  <w:u w:val="single" w:color="0462C1"/>
                </w:rPr>
                <w:t>https://www.cdc.gov/nhsn/training/course-catalog/index.html</w:t>
              </w:r>
            </w:hyperlink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0048" from="140.419998pt,401.143768pt" to="158.371999pt,401.143768pt" stroked="true" strokeweight="1.08975pt" strokecolor="#000000">
            <v:stroke dashstyle="solid"/>
            <w10:wrap type="none"/>
          </v:line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pgSz w:w="15840" w:h="12240" w:orient="landscape"/>
          <w:pgMar w:footer="459" w:header="0" w:top="980" w:bottom="640" w:left="600" w:right="580"/>
          <w:pgNumType w:start="2"/>
        </w:sectPr>
      </w:pPr>
    </w:p>
    <w:p>
      <w:pPr>
        <w:spacing w:before="22"/>
        <w:ind w:left="6817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Appendix</w:t>
      </w:r>
    </w:p>
    <w:p>
      <w:pPr>
        <w:spacing w:line="240" w:lineRule="auto" w:before="2" w:after="1"/>
        <w:rPr>
          <w:b/>
          <w:i/>
          <w:sz w:val="9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98"/>
      </w:tblGrid>
      <w:tr>
        <w:trPr>
          <w:trHeight w:val="540" w:hRule="exact"/>
        </w:trPr>
        <w:tc>
          <w:tcPr>
            <w:tcW w:w="14398" w:type="dxa"/>
            <w:shd w:val="clear" w:color="auto" w:fill="D9D9D9"/>
          </w:tcPr>
          <w:p>
            <w:pPr>
              <w:pStyle w:val="TableParagraph"/>
              <w:spacing w:before="57"/>
              <w:ind w:left="3446"/>
              <w:rPr>
                <w:b/>
                <w:sz w:val="22"/>
              </w:rPr>
            </w:pPr>
            <w:r>
              <w:rPr>
                <w:b/>
                <w:sz w:val="22"/>
              </w:rPr>
              <w:t>3 important conditions that should be MET when applying surveillance definitions</w:t>
            </w:r>
          </w:p>
        </w:tc>
      </w:tr>
      <w:tr>
        <w:trPr>
          <w:trHeight w:val="1922" w:hRule="exact"/>
        </w:trPr>
        <w:tc>
          <w:tcPr>
            <w:tcW w:w="1439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818" w:right="0" w:hanging="720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All symptoms must be </w:t>
            </w:r>
            <w:r>
              <w:rPr>
                <w:b/>
                <w:sz w:val="20"/>
              </w:rPr>
              <w:t>NEW </w:t>
            </w:r>
            <w:r>
              <w:rPr>
                <w:sz w:val="20"/>
              </w:rPr>
              <w:t>or acutely</w:t>
            </w:r>
            <w:r>
              <w:rPr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WORSE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8" w:val="left" w:leader="none"/>
                <w:tab w:pos="459" w:val="left" w:leader="none"/>
              </w:tabs>
              <w:spacing w:line="240" w:lineRule="auto" w:before="121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Alternative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noninfectious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symptoms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(e.g.,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dehydration,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medications)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evaluated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58" w:val="left" w:leader="none"/>
                <w:tab w:pos="459" w:val="left" w:leader="none"/>
              </w:tabs>
              <w:spacing w:line="352" w:lineRule="auto" w:before="121" w:after="0"/>
              <w:ind w:left="818" w:right="1166" w:hanging="720"/>
              <w:jc w:val="left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single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piece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always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consider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clinical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microbiologic/radiologic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findings</w:t>
            </w:r>
            <w:r>
              <w:rPr>
                <w:w w:val="99"/>
                <w:sz w:val="20"/>
              </w:rPr>
              <w:t> </w:t>
            </w:r>
            <w:r>
              <w:rPr>
                <w:w w:val="99"/>
                <w:sz w:val="20"/>
              </w:rPr>
              <w:drawing>
                <wp:inline distT="0" distB="0" distL="0" distR="0">
                  <wp:extent cx="102679" cy="102679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0"/>
              </w:rPr>
            </w:r>
            <w:r>
              <w:rPr>
                <w:rFonts w:ascii="Times New Roman"/>
                <w:w w:val="99"/>
                <w:sz w:val="20"/>
              </w:rPr>
              <w:t>   </w:t>
            </w:r>
            <w:r>
              <w:rPr>
                <w:rFonts w:ascii="Times New Roman"/>
                <w:spacing w:val="-2"/>
                <w:w w:val="99"/>
                <w:sz w:val="20"/>
              </w:rPr>
              <w:t> </w:t>
            </w:r>
            <w:r>
              <w:rPr>
                <w:sz w:val="20"/>
              </w:rPr>
              <w:t>Microbiologic and radiologic findings should </w:t>
            </w:r>
            <w:r>
              <w:rPr>
                <w:b/>
                <w:sz w:val="20"/>
              </w:rPr>
              <w:t>NOT </w:t>
            </w:r>
            <w:r>
              <w:rPr>
                <w:sz w:val="20"/>
              </w:rPr>
              <w:t>be the sole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criteria</w:t>
            </w:r>
          </w:p>
          <w:p>
            <w:pPr>
              <w:pStyle w:val="TableParagraph"/>
              <w:spacing w:before="7"/>
              <w:ind w:left="818"/>
              <w:rPr>
                <w:sz w:val="20"/>
              </w:rPr>
            </w:pPr>
            <w:r>
              <w:rPr/>
              <w:drawing>
                <wp:inline distT="0" distB="0" distL="0" distR="0">
                  <wp:extent cx="102679" cy="102679"/>
                  <wp:effectExtent l="0" t="0" r="0" b="0"/>
                  <wp:docPr id="3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z w:val="20"/>
              </w:rPr>
              <w:t>   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sz w:val="20"/>
              </w:rPr>
              <w:t>Diagnosis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physician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alone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sufficient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surveillance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definition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infection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include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compatible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signs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symptoms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3" w:after="0"/>
        <w:rPr>
          <w:b/>
          <w:i/>
          <w:sz w:val="11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6"/>
        <w:gridCol w:w="3596"/>
        <w:gridCol w:w="3596"/>
        <w:gridCol w:w="3596"/>
      </w:tblGrid>
      <w:tr>
        <w:trPr>
          <w:trHeight w:val="567" w:hRule="exact"/>
        </w:trPr>
        <w:tc>
          <w:tcPr>
            <w:tcW w:w="14383" w:type="dxa"/>
            <w:gridSpan w:val="4"/>
            <w:shd w:val="clear" w:color="auto" w:fill="D9D9D9"/>
          </w:tcPr>
          <w:p>
            <w:pPr>
              <w:pStyle w:val="TableParagraph"/>
              <w:spacing w:before="136"/>
              <w:ind w:left="3221"/>
              <w:rPr>
                <w:b/>
                <w:sz w:val="22"/>
              </w:rPr>
            </w:pPr>
            <w:r>
              <w:rPr>
                <w:b/>
                <w:sz w:val="22"/>
              </w:rPr>
              <w:t>Definitions for Constitutional Criteria in Residents of Long-Term Care Facilities (LTCFs)*</w:t>
            </w:r>
          </w:p>
        </w:tc>
      </w:tr>
      <w:tr>
        <w:trPr>
          <w:trHeight w:val="557" w:hRule="exact"/>
        </w:trPr>
        <w:tc>
          <w:tcPr>
            <w:tcW w:w="359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3"/>
              <w:ind w:left="1516" w:right="15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Fever</w:t>
            </w:r>
          </w:p>
        </w:tc>
        <w:tc>
          <w:tcPr>
            <w:tcW w:w="35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3"/>
              <w:ind w:left="1185" w:right="11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Leukocytosis</w:t>
            </w:r>
          </w:p>
        </w:tc>
        <w:tc>
          <w:tcPr>
            <w:tcW w:w="3596" w:type="dxa"/>
          </w:tcPr>
          <w:p>
            <w:pPr>
              <w:pStyle w:val="TableParagraph"/>
              <w:spacing w:line="237" w:lineRule="auto" w:before="1"/>
              <w:ind w:left="1406" w:right="147" w:hanging="1246"/>
              <w:rPr>
                <w:b/>
                <w:sz w:val="22"/>
              </w:rPr>
            </w:pPr>
            <w:r>
              <w:rPr>
                <w:b/>
                <w:sz w:val="22"/>
              </w:rPr>
              <w:t>Acute change in mental status from baseline</w:t>
            </w:r>
          </w:p>
        </w:tc>
        <w:tc>
          <w:tcPr>
            <w:tcW w:w="3596" w:type="dxa"/>
          </w:tcPr>
          <w:p>
            <w:pPr>
              <w:pStyle w:val="TableParagraph"/>
              <w:spacing w:before="133"/>
              <w:ind w:left="679"/>
              <w:rPr>
                <w:b/>
                <w:sz w:val="22"/>
              </w:rPr>
            </w:pPr>
            <w:r>
              <w:rPr>
                <w:b/>
                <w:sz w:val="22"/>
              </w:rPr>
              <w:t>Acute functional decline</w:t>
            </w:r>
          </w:p>
        </w:tc>
      </w:tr>
      <w:tr>
        <w:trPr>
          <w:trHeight w:val="3308" w:hRule="exact"/>
        </w:trPr>
        <w:tc>
          <w:tcPr>
            <w:tcW w:w="3596" w:type="dxa"/>
            <w:tcBorders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58" w:val="left" w:leader="none"/>
                <w:tab w:pos="459" w:val="left" w:leader="none"/>
              </w:tabs>
              <w:spacing w:line="240" w:lineRule="auto" w:before="1" w:after="0"/>
              <w:ind w:left="458" w:right="515" w:hanging="360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Single oral temperature &gt;37.8°C (&gt;100°F)</w:t>
            </w:r>
            <w:r>
              <w:rPr>
                <w:spacing w:val="-8"/>
                <w:sz w:val="20"/>
              </w:rPr>
              <w:t> </w:t>
            </w:r>
            <w:r>
              <w:rPr>
                <w:b/>
                <w:i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144" w:hanging="360"/>
              <w:jc w:val="left"/>
              <w:rPr>
                <w:sz w:val="20"/>
              </w:rPr>
            </w:pPr>
            <w:r>
              <w:rPr>
                <w:sz w:val="20"/>
              </w:rPr>
              <w:t>Repeated oral temperatures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&gt;37.2°C (99°F) or rectal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temperatures</w:t>
            </w:r>
          </w:p>
          <w:p>
            <w:pPr>
              <w:pStyle w:val="TableParagraph"/>
              <w:spacing w:before="3"/>
              <w:ind w:left="458"/>
              <w:rPr>
                <w:b/>
                <w:i/>
                <w:sz w:val="20"/>
              </w:rPr>
            </w:pPr>
            <w:r>
              <w:rPr>
                <w:sz w:val="20"/>
              </w:rPr>
              <w:t>&gt;37.5°C (99.5°F) </w:t>
            </w:r>
            <w:r>
              <w:rPr>
                <w:b/>
                <w:i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144" w:hanging="360"/>
              <w:jc w:val="left"/>
              <w:rPr>
                <w:sz w:val="20"/>
              </w:rPr>
            </w:pPr>
            <w:r>
              <w:rPr>
                <w:sz w:val="20"/>
              </w:rPr>
              <w:t>Single temperature &gt;1.1°C (2°F)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over baseline from any site (oral, tympanic,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axillary)</w:t>
            </w:r>
          </w:p>
        </w:tc>
        <w:tc>
          <w:tcPr>
            <w:tcW w:w="3596" w:type="dxa"/>
            <w:tcBorders>
              <w:lef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58" w:val="left" w:leader="none"/>
                <w:tab w:pos="459" w:val="left" w:leader="none"/>
              </w:tabs>
              <w:spacing w:line="244" w:lineRule="exact" w:before="47" w:after="0"/>
              <w:ind w:left="458" w:right="1337" w:hanging="360"/>
              <w:jc w:val="left"/>
              <w:rPr>
                <w:b/>
                <w:i/>
                <w:sz w:val="20"/>
              </w:rPr>
            </w:pPr>
            <w:r>
              <w:rPr>
                <w:sz w:val="20"/>
              </w:rPr>
              <w:t>Neutrophilia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(&gt;14,000 leukocytes/mm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  <w:r>
              <w:rPr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OR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58" w:val="left" w:leader="none"/>
                <w:tab w:pos="459" w:val="left" w:leader="none"/>
              </w:tabs>
              <w:spacing w:line="244" w:lineRule="exact" w:before="48" w:after="0"/>
              <w:ind w:left="458" w:right="552" w:hanging="360"/>
              <w:jc w:val="left"/>
              <w:rPr>
                <w:sz w:val="20"/>
              </w:rPr>
            </w:pPr>
            <w:r>
              <w:rPr>
                <w:sz w:val="20"/>
              </w:rPr>
              <w:t>Left shift (&gt;6% bands or </w:t>
            </w:r>
            <w:r>
              <w:rPr>
                <w:sz w:val="20"/>
                <w:u w:val="single"/>
              </w:rPr>
              <w:t>&gt;</w:t>
            </w:r>
            <w:r>
              <w:rPr>
                <w:sz w:val="20"/>
              </w:rPr>
              <w:t>1,500 bands/mm</w:t>
            </w:r>
            <w:r>
              <w:rPr>
                <w:position w:val="7"/>
                <w:sz w:val="13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3596" w:type="dxa"/>
          </w:tcPr>
          <w:p>
            <w:pPr>
              <w:pStyle w:val="TableParagraph"/>
              <w:spacing w:before="1"/>
              <w:ind w:left="974" w:right="606" w:hanging="351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ALL </w:t>
            </w:r>
            <w:r>
              <w:rPr>
                <w:b/>
                <w:sz w:val="20"/>
              </w:rPr>
              <w:t>criteria must be present (See Table 1 below)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Acute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onset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Fluctuating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course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Inattention</w:t>
            </w:r>
          </w:p>
          <w:p>
            <w:pPr>
              <w:pStyle w:val="TableParagraph"/>
              <w:spacing w:before="1"/>
              <w:ind w:left="438" w:right="2718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AND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634" w:hanging="360"/>
              <w:jc w:val="left"/>
              <w:rPr>
                <w:sz w:val="20"/>
              </w:rPr>
            </w:pPr>
            <w:r>
              <w:rPr>
                <w:sz w:val="20"/>
              </w:rPr>
              <w:t>Either disorganized thinking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or altered level of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consciousness</w:t>
            </w:r>
          </w:p>
        </w:tc>
        <w:tc>
          <w:tcPr>
            <w:tcW w:w="3596" w:type="dxa"/>
          </w:tcPr>
          <w:p>
            <w:pPr>
              <w:pStyle w:val="TableParagraph"/>
              <w:spacing w:before="1"/>
              <w:ind w:right="202"/>
              <w:rPr>
                <w:sz w:val="20"/>
              </w:rPr>
            </w:pPr>
            <w:r>
              <w:rPr>
                <w:sz w:val="20"/>
              </w:rPr>
              <w:t>A new 3-point increase in total activities of daily living (ADL) score (range, 0 -28) from baseline, based on the following 7 ADL items, each scored from 0 (independent) to 4 (total dependence)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93" w:lineRule="exact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Bed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mobility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Transfer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Locomotion within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LTCF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Dressing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Toilet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hygiene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58" w:val="left" w:leader="none"/>
                <w:tab w:pos="459" w:val="left" w:leader="none"/>
              </w:tabs>
              <w:spacing w:line="240" w:lineRule="auto" w:before="0" w:after="0"/>
              <w:ind w:left="458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Eating</w:t>
            </w:r>
          </w:p>
        </w:tc>
      </w:tr>
    </w:tbl>
    <w:p>
      <w:pPr>
        <w:spacing w:line="240" w:lineRule="auto" w:before="8"/>
        <w:rPr>
          <w:b/>
          <w:i/>
          <w:sz w:val="23"/>
        </w:rPr>
      </w:pPr>
    </w:p>
    <w:p>
      <w:pPr>
        <w:spacing w:before="1"/>
        <w:ind w:left="120" w:right="0" w:firstLine="0"/>
        <w:jc w:val="left"/>
        <w:rPr>
          <w:i/>
          <w:sz w:val="22"/>
        </w:rPr>
      </w:pPr>
      <w:r>
        <w:rPr>
          <w:i/>
          <w:sz w:val="22"/>
        </w:rPr>
        <w:t>Table 1</w:t>
      </w:r>
    </w:p>
    <w:p>
      <w:pPr>
        <w:spacing w:line="240" w:lineRule="auto" w:before="0" w:after="0"/>
        <w:rPr>
          <w:i/>
          <w:sz w:val="15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4"/>
        <w:gridCol w:w="11959"/>
      </w:tblGrid>
      <w:tr>
        <w:trPr>
          <w:trHeight w:val="288" w:hRule="exact"/>
        </w:trPr>
        <w:tc>
          <w:tcPr>
            <w:tcW w:w="2424" w:type="dxa"/>
            <w:shd w:val="clear" w:color="auto" w:fill="D9D9D9"/>
          </w:tcPr>
          <w:p>
            <w:pPr>
              <w:pStyle w:val="TableParagraph"/>
              <w:spacing w:line="265" w:lineRule="exact"/>
              <w:ind w:left="194" w:right="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Acute Onset</w:t>
            </w:r>
          </w:p>
        </w:tc>
        <w:tc>
          <w:tcPr>
            <w:tcW w:w="119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Evidence of acute change in resident’s mental status from baseline</w:t>
            </w:r>
          </w:p>
        </w:tc>
      </w:tr>
      <w:tr>
        <w:trPr>
          <w:trHeight w:val="290" w:hRule="exact"/>
        </w:trPr>
        <w:tc>
          <w:tcPr>
            <w:tcW w:w="2424" w:type="dxa"/>
            <w:shd w:val="clear" w:color="auto" w:fill="D9D9D9"/>
          </w:tcPr>
          <w:p>
            <w:pPr>
              <w:pStyle w:val="TableParagraph"/>
              <w:spacing w:line="268" w:lineRule="exact"/>
              <w:ind w:left="193" w:right="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Fluctuating</w:t>
            </w:r>
          </w:p>
        </w:tc>
        <w:tc>
          <w:tcPr>
            <w:tcW w:w="11959" w:type="dxa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Behavior fluctuating (e.g., coming and going or changing in severity during the assessment)</w:t>
            </w:r>
          </w:p>
        </w:tc>
      </w:tr>
      <w:tr>
        <w:trPr>
          <w:trHeight w:val="289" w:hRule="exact"/>
        </w:trPr>
        <w:tc>
          <w:tcPr>
            <w:tcW w:w="2424" w:type="dxa"/>
            <w:shd w:val="clear" w:color="auto" w:fill="D9D9D9"/>
          </w:tcPr>
          <w:p>
            <w:pPr>
              <w:pStyle w:val="TableParagraph"/>
              <w:spacing w:line="266" w:lineRule="exact"/>
              <w:ind w:left="194" w:right="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Inattention</w:t>
            </w:r>
          </w:p>
        </w:tc>
        <w:tc>
          <w:tcPr>
            <w:tcW w:w="11959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Resident has difficulty focusing attention (e.g., unable to keep track of discussion or easily distracted)</w:t>
            </w:r>
          </w:p>
        </w:tc>
      </w:tr>
      <w:tr>
        <w:trPr>
          <w:trHeight w:val="288" w:hRule="exact"/>
        </w:trPr>
        <w:tc>
          <w:tcPr>
            <w:tcW w:w="2424" w:type="dxa"/>
            <w:shd w:val="clear" w:color="auto" w:fill="D9D9D9"/>
          </w:tcPr>
          <w:p>
            <w:pPr>
              <w:pStyle w:val="TableParagraph"/>
              <w:spacing w:line="265" w:lineRule="exact"/>
              <w:ind w:left="194" w:right="19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Disorganized thinking</w:t>
            </w:r>
          </w:p>
        </w:tc>
        <w:tc>
          <w:tcPr>
            <w:tcW w:w="11959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Resident’s thinking is incoherent (e.g., rambling conversation, unclear flow of ideas, unpredictable switches in subject)</w:t>
            </w:r>
          </w:p>
        </w:tc>
      </w:tr>
      <w:tr>
        <w:trPr>
          <w:trHeight w:val="557" w:hRule="exact"/>
        </w:trPr>
        <w:tc>
          <w:tcPr>
            <w:tcW w:w="2424" w:type="dxa"/>
            <w:shd w:val="clear" w:color="auto" w:fill="D9D9D9"/>
          </w:tcPr>
          <w:p>
            <w:pPr>
              <w:pStyle w:val="TableParagraph"/>
              <w:ind w:left="556" w:right="484" w:hanging="58"/>
              <w:rPr>
                <w:b/>
                <w:sz w:val="22"/>
              </w:rPr>
            </w:pPr>
            <w:r>
              <w:rPr>
                <w:b/>
                <w:sz w:val="22"/>
              </w:rPr>
              <w:t>Altered level of consciousness</w:t>
            </w:r>
          </w:p>
        </w:tc>
        <w:tc>
          <w:tcPr>
            <w:tcW w:w="11959" w:type="dxa"/>
          </w:tcPr>
          <w:p>
            <w:pPr>
              <w:pStyle w:val="TableParagraph"/>
              <w:ind w:right="768"/>
              <w:rPr>
                <w:sz w:val="22"/>
              </w:rPr>
            </w:pPr>
            <w:r>
              <w:rPr>
                <w:sz w:val="22"/>
              </w:rPr>
              <w:t>Resident’s level of consciousness is described as different from baseline (e.g., hyperalert, sleepy, drowsy, difficult to arouse, nonresponsive)</w:t>
            </w:r>
          </w:p>
        </w:tc>
      </w:tr>
    </w:tbl>
    <w:sectPr>
      <w:pgSz w:w="15840" w:h="12240" w:orient="landscape"/>
      <w:pgMar w:header="0" w:footer="459" w:top="560" w:bottom="64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42.68pt;margin-top:575.065979pt;width:314.8pt;height:19.8pt;mso-position-horizontal-relative:page;mso-position-vertical-relative:page;z-index:-10168" type="#_x0000_t202" filled="false" stroked="false">
          <v:textbox inset="0,0,0,0">
            <w:txbxContent>
              <w:p>
                <w:pPr>
                  <w:pStyle w:val="BodyText"/>
                  <w:spacing w:line="183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Surveillance Definitions of Infections in Long-Term Care Facilities: Revisiting the McGeer Criteria.</w:t>
                </w:r>
              </w:p>
              <w:p>
                <w:pPr>
                  <w:pStyle w:val="BodyText"/>
                  <w:spacing w:line="19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Infection Control Hospital Epidemiology 2012;33(10):965-977</w:t>
                </w:r>
              </w:p>
            </w:txbxContent>
          </v:textbox>
          <w10:wrap type="none"/>
        </v:shape>
      </w:pict>
    </w:r>
    <w:r>
      <w:rPr/>
      <w:pict>
        <v:shape style="position:absolute;margin-left:690.799988pt;margin-top:575.065979pt;width:58.3pt;height:19.8pt;mso-position-horizontal-relative:page;mso-position-vertical-relative:page;z-index:-10144" type="#_x0000_t202" filled="false" stroked="false">
          <v:textbox inset="0,0,0,0">
            <w:txbxContent>
              <w:p>
                <w:pPr>
                  <w:pStyle w:val="BodyText"/>
                  <w:spacing w:line="183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NC SPICE, 9/2016</w:t>
                </w:r>
              </w:p>
              <w:p>
                <w:pPr>
                  <w:pStyle w:val="BodyText"/>
                  <w:spacing w:line="195" w:lineRule="exact"/>
                  <w:ind w:left="20"/>
                  <w:rPr>
                    <w:i/>
                  </w:rPr>
                </w:pPr>
                <w:r>
                  <w:rPr>
                    <w:i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i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i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458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458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458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58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771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8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0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18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2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53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818" w:hanging="360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7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3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4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9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95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3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666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"/>
      <w:lvlJc w:val="left"/>
      <w:pPr>
        <w:ind w:left="818" w:hanging="36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"/>
      <w:lvlJc w:val="left"/>
      <w:pPr>
        <w:ind w:left="818" w:hanging="360"/>
      </w:pPr>
      <w:rPr>
        <w:rFonts w:hint="default" w:ascii="Wingdings" w:hAnsi="Wingdings" w:eastAsia="Wingdings" w:cs="Wingdings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7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6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5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41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"/>
      <w:lvlJc w:val="left"/>
      <w:pPr>
        <w:ind w:left="1538" w:hanging="360"/>
      </w:pPr>
      <w:rPr>
        <w:rFonts w:hint="default"/>
        <w:w w:val="100"/>
      </w:rPr>
    </w:lvl>
    <w:lvl w:ilvl="1">
      <w:start w:val="0"/>
      <w:numFmt w:val="bullet"/>
      <w:lvlText w:val="o"/>
      <w:lvlJc w:val="left"/>
      <w:pPr>
        <w:ind w:left="2259" w:hanging="360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86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7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87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0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08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61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21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36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6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"/>
      <w:lvlJc w:val="left"/>
      <w:pPr>
        <w:ind w:left="459" w:hanging="360"/>
      </w:pPr>
      <w:rPr>
        <w:rFonts w:hint="default" w:ascii="Wingdings" w:hAnsi="Wingdings" w:eastAsia="Wingdings" w:cs="Wingdings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91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9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6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24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"/>
      <w:lvlJc w:val="left"/>
      <w:pPr>
        <w:ind w:left="458" w:hanging="360"/>
      </w:pPr>
      <w:rPr>
        <w:rFonts w:hint="default" w:ascii="Wingdings" w:hAnsi="Wingdings" w:eastAsia="Wingdings" w:cs="Wingdings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0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4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8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1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5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01" w:hanging="360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9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cdc.gov/nhsn/training/course-catalog/index.html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Ridge, Heather Thomas</dc:creator>
  <dcterms:created xsi:type="dcterms:W3CDTF">2020-05-06T09:12:55Z</dcterms:created>
  <dcterms:modified xsi:type="dcterms:W3CDTF">2020-05-06T09:12:55Z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2020-05-06T00:00:00Z</vt:filetime>
  </property>
</Properties>
</file>