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75B1" w14:textId="1FE83B41" w:rsidR="00360477" w:rsidRDefault="00360477" w:rsidP="00360477">
      <w:pPr>
        <w:keepNext/>
        <w:spacing w:after="120"/>
        <w:ind w:left="1080" w:hanging="360"/>
        <w:jc w:val="center"/>
        <w:outlineLvl w:val="2"/>
        <w:rPr>
          <w:rFonts w:cs="Arial"/>
          <w:b/>
          <w:bCs/>
          <w:szCs w:val="26"/>
        </w:rPr>
      </w:pPr>
      <w:bookmarkStart w:id="0" w:name="_Toc368301926"/>
      <w:bookmarkStart w:id="1" w:name="_Toc508882338"/>
      <w:r>
        <w:rPr>
          <w:rFonts w:cs="Arial"/>
          <w:b/>
          <w:bCs/>
          <w:szCs w:val="26"/>
        </w:rPr>
        <w:t xml:space="preserve">Attachment </w:t>
      </w:r>
      <w:r w:rsidRPr="00A63024">
        <w:rPr>
          <w:rFonts w:cs="Arial"/>
          <w:b/>
          <w:bCs/>
          <w:szCs w:val="26"/>
        </w:rPr>
        <w:t xml:space="preserve">2:  UNC </w:t>
      </w:r>
      <w:r w:rsidR="00C01AB0">
        <w:rPr>
          <w:rFonts w:cs="Arial"/>
          <w:b/>
          <w:bCs/>
          <w:szCs w:val="26"/>
        </w:rPr>
        <w:t>Hospitals</w:t>
      </w:r>
      <w:r w:rsidRPr="00A63024">
        <w:rPr>
          <w:rFonts w:cs="Arial"/>
          <w:b/>
          <w:bCs/>
          <w:szCs w:val="26"/>
        </w:rPr>
        <w:t xml:space="preserve"> AFB Laboratory Procedure</w:t>
      </w:r>
      <w:bookmarkEnd w:id="0"/>
      <w:bookmarkEnd w:id="1"/>
      <w:r>
        <w:rPr>
          <w:rFonts w:cs="Arial"/>
          <w:b/>
          <w:bCs/>
          <w:szCs w:val="26"/>
        </w:rPr>
        <w:t>s</w:t>
      </w:r>
    </w:p>
    <w:p w14:paraId="4345CCFC" w14:textId="77777777" w:rsidR="00360477" w:rsidRPr="00A63024" w:rsidRDefault="00360477" w:rsidP="00360477">
      <w:pPr>
        <w:keepNext/>
        <w:spacing w:after="120"/>
        <w:ind w:left="1080" w:hanging="360"/>
        <w:jc w:val="center"/>
        <w:outlineLvl w:val="2"/>
        <w:rPr>
          <w:rFonts w:cs="Arial"/>
          <w:b/>
          <w:bCs/>
          <w:szCs w:val="26"/>
        </w:rPr>
      </w:pPr>
    </w:p>
    <w:p w14:paraId="67D5B689" w14:textId="77777777" w:rsidR="00BF686C" w:rsidRPr="00972F3B" w:rsidRDefault="00360477" w:rsidP="00360477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  <w:b/>
        </w:rPr>
        <w:t>Routine Procedures</w:t>
      </w:r>
    </w:p>
    <w:p w14:paraId="0CC8A18E" w14:textId="77777777" w:rsidR="00360477" w:rsidRPr="00972F3B" w:rsidRDefault="00360477" w:rsidP="00972F3B">
      <w:pPr>
        <w:pStyle w:val="ListParagraph"/>
        <w:numPr>
          <w:ilvl w:val="1"/>
          <w:numId w:val="2"/>
        </w:numPr>
        <w:spacing w:before="120" w:after="120" w:line="360" w:lineRule="auto"/>
        <w:ind w:left="72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  <w:b/>
          <w:bCs/>
        </w:rPr>
        <w:t xml:space="preserve">Smears: </w:t>
      </w:r>
      <w:r w:rsidRPr="00972F3B">
        <w:rPr>
          <w:rFonts w:asciiTheme="minorHAnsi" w:hAnsiTheme="minorHAnsi" w:cstheme="minorHAnsi"/>
        </w:rPr>
        <w:t xml:space="preserve">Specimens are picked up from the Clinical Microbiology Central Processing area every morning, Monday through Friday. </w:t>
      </w:r>
      <w:proofErr w:type="gramStart"/>
      <w:r w:rsidRPr="00972F3B">
        <w:rPr>
          <w:rFonts w:asciiTheme="minorHAnsi" w:hAnsiTheme="minorHAnsi" w:cstheme="minorHAnsi"/>
        </w:rPr>
        <w:t>In order for</w:t>
      </w:r>
      <w:proofErr w:type="gramEnd"/>
      <w:r w:rsidRPr="00972F3B">
        <w:rPr>
          <w:rFonts w:asciiTheme="minorHAnsi" w:hAnsiTheme="minorHAnsi" w:cstheme="minorHAnsi"/>
        </w:rPr>
        <w:t xml:space="preserve"> AFB specimens to be processed that morning, they should be received by 8:00 a.m., Monday through Friday. If the patient is admitted to UNC Hospitals and placed on Airborne Precautions after 8 a.m., a sputum specimen collected on the first day after 8 a.m. will be accepted for smear and culture examination but it will not be processed until the next working day. Routine setup includes 1 LJ slant, BD MGIT (mycobacterial growth indicator tube), and a smear. Smears are read and reported by 5:00 p.m.</w:t>
      </w:r>
    </w:p>
    <w:p w14:paraId="07EA7AC3" w14:textId="09BCE91B" w:rsidR="00360477" w:rsidRPr="00972F3B" w:rsidRDefault="00360477" w:rsidP="00360477">
      <w:pPr>
        <w:pStyle w:val="ListParagraph"/>
        <w:numPr>
          <w:ilvl w:val="2"/>
          <w:numId w:val="2"/>
        </w:numPr>
        <w:spacing w:before="120" w:after="120" w:line="360" w:lineRule="auto"/>
        <w:ind w:left="1620" w:hanging="45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 xml:space="preserve">Negative smears are resulted to the </w:t>
      </w:r>
      <w:r w:rsidR="00861DC1">
        <w:rPr>
          <w:rFonts w:asciiTheme="minorHAnsi" w:hAnsiTheme="minorHAnsi" w:cstheme="minorHAnsi"/>
        </w:rPr>
        <w:t>EMR (e.g., Epic)</w:t>
      </w:r>
    </w:p>
    <w:p w14:paraId="49744AD4" w14:textId="6FD8543C" w:rsidR="00360477" w:rsidRPr="00972F3B" w:rsidRDefault="00360477" w:rsidP="00360477">
      <w:pPr>
        <w:pStyle w:val="ListParagraph"/>
        <w:numPr>
          <w:ilvl w:val="2"/>
          <w:numId w:val="2"/>
        </w:numPr>
        <w:spacing w:before="120" w:after="120" w:line="360" w:lineRule="auto"/>
        <w:ind w:left="1620" w:hanging="45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  <w:szCs w:val="22"/>
        </w:rPr>
        <w:t xml:space="preserve">Positive smears are resulted to the computer. Additionally, records are checked on these patients for previous positive </w:t>
      </w:r>
      <w:r w:rsidR="00C93463" w:rsidRPr="00972F3B">
        <w:rPr>
          <w:rFonts w:asciiTheme="minorHAnsi" w:hAnsiTheme="minorHAnsi" w:cstheme="minorHAnsi"/>
          <w:szCs w:val="22"/>
        </w:rPr>
        <w:t>results.</w:t>
      </w:r>
    </w:p>
    <w:p w14:paraId="0D678581" w14:textId="0F1FA720" w:rsidR="00360477" w:rsidRPr="00972F3B" w:rsidRDefault="00360477" w:rsidP="00360477">
      <w:pPr>
        <w:pStyle w:val="ListParagraph"/>
        <w:numPr>
          <w:ilvl w:val="3"/>
          <w:numId w:val="2"/>
        </w:numPr>
        <w:spacing w:before="120" w:after="120" w:line="360" w:lineRule="auto"/>
        <w:ind w:left="2160" w:hanging="45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 xml:space="preserve">First positive – will be reported immediately to the requesting </w:t>
      </w:r>
      <w:r w:rsidR="00C93463" w:rsidRPr="00972F3B">
        <w:rPr>
          <w:rFonts w:asciiTheme="minorHAnsi" w:hAnsiTheme="minorHAnsi" w:cstheme="minorHAnsi"/>
        </w:rPr>
        <w:t>physician.</w:t>
      </w:r>
    </w:p>
    <w:p w14:paraId="57795B36" w14:textId="6EA7C194" w:rsidR="00360477" w:rsidRPr="00972F3B" w:rsidRDefault="00360477" w:rsidP="00360477">
      <w:pPr>
        <w:pStyle w:val="ListParagraph"/>
        <w:numPr>
          <w:ilvl w:val="3"/>
          <w:numId w:val="2"/>
        </w:numPr>
        <w:spacing w:before="120" w:after="120" w:line="360" w:lineRule="auto"/>
        <w:ind w:left="2160" w:hanging="45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 xml:space="preserve">Previous positive - notify physician if greater than one year since previous </w:t>
      </w:r>
      <w:r w:rsidR="00C93463" w:rsidRPr="00972F3B">
        <w:rPr>
          <w:rFonts w:asciiTheme="minorHAnsi" w:hAnsiTheme="minorHAnsi" w:cstheme="minorHAnsi"/>
        </w:rPr>
        <w:t>positive.</w:t>
      </w:r>
    </w:p>
    <w:p w14:paraId="65AD0D0B" w14:textId="77777777" w:rsidR="00360477" w:rsidRPr="00972F3B" w:rsidRDefault="00360477" w:rsidP="00360477">
      <w:pPr>
        <w:pStyle w:val="ListParagraph"/>
        <w:numPr>
          <w:ilvl w:val="1"/>
          <w:numId w:val="2"/>
        </w:numPr>
        <w:spacing w:before="120" w:after="120" w:line="360" w:lineRule="auto"/>
        <w:ind w:left="108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  <w:b/>
        </w:rPr>
        <w:t>Cultures:</w:t>
      </w:r>
    </w:p>
    <w:p w14:paraId="3ADA4473" w14:textId="3C3691AF" w:rsidR="00360477" w:rsidRPr="00972F3B" w:rsidRDefault="00360477" w:rsidP="00360477">
      <w:pPr>
        <w:pStyle w:val="ListParagraph"/>
        <w:numPr>
          <w:ilvl w:val="2"/>
          <w:numId w:val="2"/>
        </w:numPr>
        <w:spacing w:before="120" w:after="120" w:line="360" w:lineRule="auto"/>
        <w:ind w:left="1620" w:hanging="45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t>BD MGIT</w:t>
      </w:r>
      <w:r w:rsidRPr="00972F3B">
        <w:rPr>
          <w:rFonts w:asciiTheme="minorHAnsi" w:hAnsiTheme="minorHAnsi" w:cstheme="minorHAnsi"/>
          <w:b/>
          <w:i/>
        </w:rPr>
        <w:t xml:space="preserve"> </w:t>
      </w:r>
      <w:r w:rsidRPr="00972F3B">
        <w:rPr>
          <w:rFonts w:asciiTheme="minorHAnsi" w:hAnsiTheme="minorHAnsi" w:cstheme="minorHAnsi"/>
        </w:rPr>
        <w:t>bottles are read every hour</w:t>
      </w:r>
      <w:r w:rsidRPr="00972F3B">
        <w:rPr>
          <w:rFonts w:asciiTheme="minorHAnsi" w:hAnsiTheme="minorHAnsi" w:cstheme="minorHAnsi"/>
          <w:b/>
          <w:i/>
        </w:rPr>
        <w:t xml:space="preserve"> </w:t>
      </w:r>
      <w:r w:rsidRPr="00972F3B">
        <w:rPr>
          <w:rFonts w:asciiTheme="minorHAnsi" w:hAnsiTheme="minorHAnsi" w:cstheme="minorHAnsi"/>
        </w:rPr>
        <w:t xml:space="preserve">for 6 weeks for indication of growth. When resulted as positive, media from the bottle is stained with </w:t>
      </w:r>
      <w:proofErr w:type="spellStart"/>
      <w:r w:rsidRPr="00972F3B">
        <w:rPr>
          <w:rFonts w:asciiTheme="minorHAnsi" w:hAnsiTheme="minorHAnsi" w:cstheme="minorHAnsi"/>
          <w:bCs/>
        </w:rPr>
        <w:t>Kinyoun</w:t>
      </w:r>
      <w:proofErr w:type="spellEnd"/>
      <w:r w:rsidRPr="00972F3B">
        <w:rPr>
          <w:rFonts w:asciiTheme="minorHAnsi" w:hAnsiTheme="minorHAnsi" w:cstheme="minorHAnsi"/>
          <w:bCs/>
        </w:rPr>
        <w:t xml:space="preserve"> </w:t>
      </w:r>
      <w:r w:rsidRPr="00972F3B">
        <w:rPr>
          <w:rFonts w:asciiTheme="minorHAnsi" w:hAnsiTheme="minorHAnsi" w:cstheme="minorHAnsi"/>
        </w:rPr>
        <w:t xml:space="preserve">stain to look for the presence of AFB. It is also sub-cultured to a 7H11 </w:t>
      </w:r>
      <w:r w:rsidR="00C93463" w:rsidRPr="00972F3B">
        <w:rPr>
          <w:rFonts w:asciiTheme="minorHAnsi" w:hAnsiTheme="minorHAnsi" w:cstheme="minorHAnsi"/>
        </w:rPr>
        <w:t>plate.</w:t>
      </w:r>
    </w:p>
    <w:p w14:paraId="6280C75E" w14:textId="4E6E2EE2" w:rsidR="00360477" w:rsidRPr="00972F3B" w:rsidRDefault="00360477" w:rsidP="00360477">
      <w:pPr>
        <w:pStyle w:val="ListParagraph"/>
        <w:numPr>
          <w:ilvl w:val="3"/>
          <w:numId w:val="2"/>
        </w:numPr>
        <w:spacing w:before="120" w:after="120" w:line="360" w:lineRule="auto"/>
        <w:ind w:left="2160" w:hanging="45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t xml:space="preserve">Stain results are recorded in the computer. Notification of physician is the same as for </w:t>
      </w:r>
      <w:r w:rsidR="00C93463" w:rsidRPr="00972F3B">
        <w:rPr>
          <w:rFonts w:asciiTheme="minorHAnsi" w:hAnsiTheme="minorHAnsi" w:cstheme="minorHAnsi"/>
        </w:rPr>
        <w:t>smears.</w:t>
      </w:r>
    </w:p>
    <w:p w14:paraId="016D47F4" w14:textId="05582F0B" w:rsidR="00360477" w:rsidRPr="00972F3B" w:rsidRDefault="00360477" w:rsidP="00360477">
      <w:pPr>
        <w:pStyle w:val="ListParagraph"/>
        <w:numPr>
          <w:ilvl w:val="3"/>
          <w:numId w:val="2"/>
        </w:numPr>
        <w:spacing w:before="120" w:after="120" w:line="360" w:lineRule="auto"/>
        <w:ind w:left="2160" w:hanging="45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t xml:space="preserve">Proceed to </w:t>
      </w:r>
      <w:r w:rsidR="00C93463" w:rsidRPr="00972F3B">
        <w:rPr>
          <w:rFonts w:asciiTheme="minorHAnsi" w:hAnsiTheme="minorHAnsi" w:cstheme="minorHAnsi"/>
        </w:rPr>
        <w:t>identification.</w:t>
      </w:r>
    </w:p>
    <w:p w14:paraId="586E1735" w14:textId="22D5C5F3" w:rsidR="00360477" w:rsidRPr="00972F3B" w:rsidRDefault="00360477" w:rsidP="00360477">
      <w:pPr>
        <w:pStyle w:val="ListParagraph"/>
        <w:numPr>
          <w:ilvl w:val="2"/>
          <w:numId w:val="2"/>
        </w:numPr>
        <w:spacing w:before="120" w:after="120" w:line="360" w:lineRule="auto"/>
        <w:ind w:left="1620" w:hanging="36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t xml:space="preserve">LJ slants are read once a week for up to 8 weeks. Results are recorded in the computer. If growth is seen, it is stained for the presence of AFB by </w:t>
      </w:r>
      <w:proofErr w:type="spellStart"/>
      <w:r w:rsidRPr="00972F3B">
        <w:rPr>
          <w:rFonts w:asciiTheme="minorHAnsi" w:hAnsiTheme="minorHAnsi" w:cstheme="minorHAnsi"/>
        </w:rPr>
        <w:t>Kinyoun</w:t>
      </w:r>
      <w:proofErr w:type="spellEnd"/>
      <w:r w:rsidRPr="00972F3B">
        <w:rPr>
          <w:rFonts w:asciiTheme="minorHAnsi" w:hAnsiTheme="minorHAnsi" w:cstheme="minorHAnsi"/>
        </w:rPr>
        <w:t xml:space="preserve"> </w:t>
      </w:r>
      <w:r w:rsidR="00C93463" w:rsidRPr="00972F3B">
        <w:rPr>
          <w:rFonts w:asciiTheme="minorHAnsi" w:hAnsiTheme="minorHAnsi" w:cstheme="minorHAnsi"/>
        </w:rPr>
        <w:t>stain.</w:t>
      </w:r>
    </w:p>
    <w:p w14:paraId="127D359B" w14:textId="43A7EBB2" w:rsidR="00360477" w:rsidRPr="00972F3B" w:rsidRDefault="00360477" w:rsidP="00360477">
      <w:pPr>
        <w:pStyle w:val="ListParagraph"/>
        <w:numPr>
          <w:ilvl w:val="3"/>
          <w:numId w:val="2"/>
        </w:numPr>
        <w:spacing w:before="120" w:after="120" w:line="360" w:lineRule="auto"/>
        <w:ind w:left="2160" w:hanging="45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t xml:space="preserve">Positive </w:t>
      </w:r>
      <w:proofErr w:type="spellStart"/>
      <w:r w:rsidRPr="00972F3B">
        <w:rPr>
          <w:rFonts w:asciiTheme="minorHAnsi" w:hAnsiTheme="minorHAnsi" w:cstheme="minorHAnsi"/>
        </w:rPr>
        <w:t>Kinyoun</w:t>
      </w:r>
      <w:proofErr w:type="spellEnd"/>
      <w:r w:rsidRPr="00972F3B">
        <w:rPr>
          <w:rFonts w:asciiTheme="minorHAnsi" w:hAnsiTheme="minorHAnsi" w:cstheme="minorHAnsi"/>
        </w:rPr>
        <w:t xml:space="preserve"> stains are recorded in the computer. Notification of physician is the same as for </w:t>
      </w:r>
      <w:r w:rsidR="00C93463" w:rsidRPr="00972F3B">
        <w:rPr>
          <w:rFonts w:asciiTheme="minorHAnsi" w:hAnsiTheme="minorHAnsi" w:cstheme="minorHAnsi"/>
        </w:rPr>
        <w:t>smears.</w:t>
      </w:r>
    </w:p>
    <w:p w14:paraId="687E4915" w14:textId="7DB13D49" w:rsidR="00360477" w:rsidRPr="00972F3B" w:rsidRDefault="00360477" w:rsidP="00360477">
      <w:pPr>
        <w:pStyle w:val="ListParagraph"/>
        <w:numPr>
          <w:ilvl w:val="3"/>
          <w:numId w:val="2"/>
        </w:numPr>
        <w:spacing w:before="120" w:after="120" w:line="360" w:lineRule="auto"/>
        <w:ind w:left="2160" w:hanging="45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t xml:space="preserve">Proceed to </w:t>
      </w:r>
      <w:r w:rsidR="00C93463" w:rsidRPr="00972F3B">
        <w:rPr>
          <w:rFonts w:asciiTheme="minorHAnsi" w:hAnsiTheme="minorHAnsi" w:cstheme="minorHAnsi"/>
        </w:rPr>
        <w:t>identification.</w:t>
      </w:r>
    </w:p>
    <w:p w14:paraId="4FC6994C" w14:textId="77777777" w:rsidR="00360477" w:rsidRPr="00972F3B" w:rsidRDefault="00360477" w:rsidP="00360477">
      <w:pPr>
        <w:pStyle w:val="ListParagraph"/>
        <w:numPr>
          <w:ilvl w:val="2"/>
          <w:numId w:val="2"/>
        </w:numPr>
        <w:spacing w:before="120" w:after="120" w:line="360" w:lineRule="auto"/>
        <w:ind w:left="1620" w:hanging="36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t>Identification: Check morphology on solid media (7H11 or LJ):</w:t>
      </w:r>
    </w:p>
    <w:p w14:paraId="10F3DD51" w14:textId="4C11B4B5" w:rsidR="00360477" w:rsidRPr="00972F3B" w:rsidRDefault="00360477" w:rsidP="00360477">
      <w:pPr>
        <w:pStyle w:val="ListParagraph"/>
        <w:numPr>
          <w:ilvl w:val="3"/>
          <w:numId w:val="2"/>
        </w:numPr>
        <w:spacing w:before="120" w:after="120" w:line="360" w:lineRule="auto"/>
        <w:ind w:left="2250" w:hanging="54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t xml:space="preserve">Proceed to either MALDI-TOF mass spectrometry or 16S </w:t>
      </w:r>
      <w:r w:rsidRPr="00972F3B">
        <w:rPr>
          <w:rFonts w:asciiTheme="minorHAnsi" w:hAnsiTheme="minorHAnsi" w:cstheme="minorHAnsi"/>
          <w:bCs/>
        </w:rPr>
        <w:t>rRNA</w:t>
      </w:r>
      <w:r w:rsidRPr="00972F3B">
        <w:rPr>
          <w:rFonts w:asciiTheme="minorHAnsi" w:hAnsiTheme="minorHAnsi" w:cstheme="minorHAnsi"/>
        </w:rPr>
        <w:t xml:space="preserve"> </w:t>
      </w:r>
      <w:r w:rsidRPr="00972F3B">
        <w:rPr>
          <w:rFonts w:asciiTheme="minorHAnsi" w:hAnsiTheme="minorHAnsi" w:cstheme="minorHAnsi"/>
          <w:bCs/>
        </w:rPr>
        <w:t>gene</w:t>
      </w:r>
      <w:r w:rsidRPr="00972F3B">
        <w:rPr>
          <w:rFonts w:asciiTheme="minorHAnsi" w:hAnsiTheme="minorHAnsi" w:cstheme="minorHAnsi"/>
        </w:rPr>
        <w:t xml:space="preserve"> sequencing for identification of mycobacterial isolate based on colony </w:t>
      </w:r>
      <w:r w:rsidR="00C93463" w:rsidRPr="00972F3B">
        <w:rPr>
          <w:rFonts w:asciiTheme="minorHAnsi" w:hAnsiTheme="minorHAnsi" w:cstheme="minorHAnsi"/>
        </w:rPr>
        <w:t>morphology.</w:t>
      </w:r>
    </w:p>
    <w:p w14:paraId="767E24B2" w14:textId="441C070F" w:rsidR="00360477" w:rsidRPr="00972F3B" w:rsidRDefault="00360477" w:rsidP="00360477">
      <w:pPr>
        <w:pStyle w:val="ListParagraph"/>
        <w:numPr>
          <w:ilvl w:val="3"/>
          <w:numId w:val="2"/>
        </w:numPr>
        <w:spacing w:before="120" w:after="120" w:line="360" w:lineRule="auto"/>
        <w:ind w:left="2250" w:hanging="540"/>
        <w:rPr>
          <w:rFonts w:asciiTheme="minorHAnsi" w:hAnsiTheme="minorHAnsi" w:cstheme="minorHAnsi"/>
          <w:b/>
        </w:rPr>
      </w:pPr>
      <w:r w:rsidRPr="00972F3B">
        <w:rPr>
          <w:rFonts w:asciiTheme="minorHAnsi" w:hAnsiTheme="minorHAnsi" w:cstheme="minorHAnsi"/>
        </w:rPr>
        <w:lastRenderedPageBreak/>
        <w:t xml:space="preserve">Results are recorded in the computer. Notification of physician is the same as for smears, if identification is </w:t>
      </w:r>
      <w:r w:rsidRPr="00972F3B">
        <w:rPr>
          <w:rFonts w:asciiTheme="minorHAnsi" w:hAnsiTheme="minorHAnsi" w:cstheme="minorHAnsi"/>
          <w:i/>
          <w:iCs/>
        </w:rPr>
        <w:t>M. tuberculosis c</w:t>
      </w:r>
      <w:r w:rsidRPr="00972F3B">
        <w:rPr>
          <w:rFonts w:asciiTheme="minorHAnsi" w:hAnsiTheme="minorHAnsi" w:cstheme="minorHAnsi"/>
          <w:bCs/>
        </w:rPr>
        <w:t>omplex</w:t>
      </w:r>
      <w:r w:rsidRPr="00972F3B">
        <w:rPr>
          <w:rFonts w:asciiTheme="minorHAnsi" w:hAnsiTheme="minorHAnsi" w:cstheme="minorHAnsi"/>
        </w:rPr>
        <w:t xml:space="preserve"> (</w:t>
      </w:r>
      <w:r w:rsidRPr="00972F3B">
        <w:rPr>
          <w:rFonts w:asciiTheme="minorHAnsi" w:hAnsiTheme="minorHAnsi" w:cstheme="minorHAnsi"/>
          <w:i/>
          <w:iCs/>
        </w:rPr>
        <w:t>M.</w:t>
      </w:r>
      <w:r w:rsidR="00C93463">
        <w:rPr>
          <w:rFonts w:asciiTheme="minorHAnsi" w:hAnsiTheme="minorHAnsi" w:cstheme="minorHAnsi"/>
          <w:i/>
          <w:iCs/>
        </w:rPr>
        <w:t xml:space="preserve"> </w:t>
      </w:r>
      <w:r w:rsidRPr="00972F3B">
        <w:rPr>
          <w:rFonts w:asciiTheme="minorHAnsi" w:hAnsiTheme="minorHAnsi" w:cstheme="minorHAnsi"/>
          <w:i/>
          <w:iCs/>
        </w:rPr>
        <w:t>tb</w:t>
      </w:r>
      <w:r w:rsidRPr="00972F3B">
        <w:rPr>
          <w:rFonts w:asciiTheme="minorHAnsi" w:hAnsiTheme="minorHAnsi" w:cstheme="minorHAnsi"/>
        </w:rPr>
        <w:t>)</w:t>
      </w:r>
    </w:p>
    <w:p w14:paraId="6052AA50" w14:textId="7E66AD87" w:rsidR="00360477" w:rsidRPr="00972F3B" w:rsidRDefault="00360477" w:rsidP="00360477">
      <w:pPr>
        <w:pStyle w:val="ListParagraph"/>
        <w:numPr>
          <w:ilvl w:val="2"/>
          <w:numId w:val="2"/>
        </w:numPr>
        <w:spacing w:before="120" w:after="120" w:line="360" w:lineRule="auto"/>
        <w:ind w:left="1620" w:hanging="36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 xml:space="preserve">PCR testing is routinely performed on all </w:t>
      </w:r>
      <w:r w:rsidR="00C93463" w:rsidRPr="00972F3B">
        <w:rPr>
          <w:rFonts w:asciiTheme="minorHAnsi" w:hAnsiTheme="minorHAnsi" w:cstheme="minorHAnsi"/>
        </w:rPr>
        <w:t>first-time</w:t>
      </w:r>
      <w:r w:rsidRPr="00972F3B">
        <w:rPr>
          <w:rFonts w:asciiTheme="minorHAnsi" w:hAnsiTheme="minorHAnsi" w:cstheme="minorHAnsi"/>
        </w:rPr>
        <w:t xml:space="preserve"> smear-positive respiratory specimens, including specimens from patients with cystic fibrosis (CF). PCR is NOT routinely performed on smear-negative respiratory specimens or extra-pulmonary smear positive specimens but can be requested by a clinician or Infection Preventionist (IP)</w:t>
      </w:r>
    </w:p>
    <w:p w14:paraId="5E5C9D65" w14:textId="5CF72FE9" w:rsidR="00360477" w:rsidRPr="00972F3B" w:rsidRDefault="00360477" w:rsidP="00360477">
      <w:pPr>
        <w:pStyle w:val="ListParagraph"/>
        <w:numPr>
          <w:ilvl w:val="2"/>
          <w:numId w:val="2"/>
        </w:numPr>
        <w:spacing w:before="120" w:after="120" w:line="360" w:lineRule="auto"/>
        <w:ind w:left="1620" w:hanging="36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 xml:space="preserve">TB PCR is performed by the UNC </w:t>
      </w:r>
      <w:r w:rsidR="00C01AB0">
        <w:rPr>
          <w:rFonts w:asciiTheme="minorHAnsi" w:hAnsiTheme="minorHAnsi" w:cstheme="minorHAnsi"/>
        </w:rPr>
        <w:t>Hospitals</w:t>
      </w:r>
      <w:r w:rsidRPr="00972F3B">
        <w:rPr>
          <w:rFonts w:asciiTheme="minorHAnsi" w:hAnsiTheme="minorHAnsi" w:cstheme="minorHAnsi"/>
        </w:rPr>
        <w:t xml:space="preserve"> Clinical Microbiology Laboratory Monday – Friday. Results are generally available the same evening as the smear result. The sensitivity of TB PCR for smear-positive respiratory specimens is 97-100% whereas the sensitivity for one smear negative respiratory specimen is 72%. The sensitivity increases to 86% when testing two smear negative respiratory </w:t>
      </w:r>
      <w:r w:rsidR="00C93463" w:rsidRPr="00972F3B">
        <w:rPr>
          <w:rFonts w:asciiTheme="minorHAnsi" w:hAnsiTheme="minorHAnsi" w:cstheme="minorHAnsi"/>
        </w:rPr>
        <w:t>specimens.</w:t>
      </w:r>
    </w:p>
    <w:p w14:paraId="220F1FD5" w14:textId="77777777" w:rsidR="00360477" w:rsidRPr="00972F3B" w:rsidRDefault="00972F3B" w:rsidP="00972F3B">
      <w:pPr>
        <w:pStyle w:val="ListParagraph"/>
        <w:numPr>
          <w:ilvl w:val="1"/>
          <w:numId w:val="2"/>
        </w:numPr>
        <w:spacing w:before="120" w:after="120" w:line="360" w:lineRule="auto"/>
        <w:ind w:left="108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  <w:b/>
          <w:bCs/>
        </w:rPr>
        <w:t>Susceptibility testing:</w:t>
      </w:r>
    </w:p>
    <w:p w14:paraId="3944F6AF" w14:textId="4452568E" w:rsidR="00972F3B" w:rsidRPr="00972F3B" w:rsidRDefault="00972F3B" w:rsidP="00972F3B">
      <w:pPr>
        <w:pStyle w:val="ListParagraph"/>
        <w:numPr>
          <w:ilvl w:val="2"/>
          <w:numId w:val="2"/>
        </w:numPr>
        <w:spacing w:before="120" w:after="120" w:line="360" w:lineRule="auto"/>
        <w:ind w:left="1620" w:hanging="36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 xml:space="preserve">Positive cultures of </w:t>
      </w:r>
      <w:r w:rsidRPr="00972F3B">
        <w:rPr>
          <w:rFonts w:asciiTheme="minorHAnsi" w:hAnsiTheme="minorHAnsi" w:cstheme="minorHAnsi"/>
          <w:i/>
        </w:rPr>
        <w:t xml:space="preserve">M. </w:t>
      </w:r>
      <w:r w:rsidRPr="00972F3B">
        <w:rPr>
          <w:rFonts w:asciiTheme="minorHAnsi" w:hAnsiTheme="minorHAnsi" w:cstheme="minorHAnsi"/>
          <w:i/>
          <w:iCs/>
        </w:rPr>
        <w:t>tuberculosis</w:t>
      </w:r>
      <w:r w:rsidRPr="00972F3B">
        <w:rPr>
          <w:rFonts w:asciiTheme="minorHAnsi" w:hAnsiTheme="minorHAnsi" w:cstheme="minorHAnsi"/>
        </w:rPr>
        <w:t xml:space="preserve"> are sent Monday-Friday to NC State Laboratory of Public Health for antimicrobial susceptibility </w:t>
      </w:r>
      <w:r w:rsidR="00C93463" w:rsidRPr="00972F3B">
        <w:rPr>
          <w:rFonts w:asciiTheme="minorHAnsi" w:hAnsiTheme="minorHAnsi" w:cstheme="minorHAnsi"/>
        </w:rPr>
        <w:t>testing.</w:t>
      </w:r>
    </w:p>
    <w:p w14:paraId="25B87C48" w14:textId="74B12DD6" w:rsidR="00972F3B" w:rsidRPr="00972F3B" w:rsidRDefault="00972F3B" w:rsidP="00972F3B">
      <w:pPr>
        <w:pStyle w:val="ListParagraph"/>
        <w:numPr>
          <w:ilvl w:val="2"/>
          <w:numId w:val="2"/>
        </w:numPr>
        <w:spacing w:before="120" w:after="120" w:line="360" w:lineRule="auto"/>
        <w:ind w:left="1620" w:hanging="36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 xml:space="preserve">In the case of increased suspicion of a drug-resistant isolate, the UNCMC Clinical Microbiology Laboratory can send an isolate to the CDC for their MDDR (Molecular Detection of Drug Resistance) service.  Additional information can be found at:  http://www.cdc.gov/tb/topic/laboratory/UserGuide/submitters.htm.  Contact a laboratory director should this service be needed as the testing must be pre-approved by CDC. Results are generally available in less than a </w:t>
      </w:r>
      <w:r w:rsidR="00C93463" w:rsidRPr="00972F3B">
        <w:rPr>
          <w:rFonts w:asciiTheme="minorHAnsi" w:hAnsiTheme="minorHAnsi" w:cstheme="minorHAnsi"/>
        </w:rPr>
        <w:t>week.</w:t>
      </w:r>
    </w:p>
    <w:p w14:paraId="31848E6E" w14:textId="77777777" w:rsidR="00972F3B" w:rsidRPr="00972F3B" w:rsidRDefault="00972F3B" w:rsidP="00972F3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  <w:b/>
          <w:szCs w:val="22"/>
        </w:rPr>
        <w:t>Special Requests</w:t>
      </w:r>
    </w:p>
    <w:p w14:paraId="4558D53F" w14:textId="3A00AAA9" w:rsidR="00972F3B" w:rsidRPr="00972F3B" w:rsidRDefault="00972F3B" w:rsidP="00972F3B">
      <w:pPr>
        <w:pStyle w:val="ListParagraph"/>
        <w:numPr>
          <w:ilvl w:val="1"/>
          <w:numId w:val="2"/>
        </w:numPr>
        <w:spacing w:before="120" w:after="120" w:line="360" w:lineRule="auto"/>
        <w:ind w:left="108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 xml:space="preserve">STAT AFB smears are not performed due to the low sensitivity of staining unconcentrated </w:t>
      </w:r>
      <w:r w:rsidR="00C93463" w:rsidRPr="00972F3B">
        <w:rPr>
          <w:rFonts w:asciiTheme="minorHAnsi" w:hAnsiTheme="minorHAnsi" w:cstheme="minorHAnsi"/>
        </w:rPr>
        <w:t>specimens.</w:t>
      </w:r>
    </w:p>
    <w:p w14:paraId="7BF9B011" w14:textId="72CCDD7D" w:rsidR="00972F3B" w:rsidRPr="00972F3B" w:rsidRDefault="00972F3B" w:rsidP="00972F3B">
      <w:pPr>
        <w:pStyle w:val="ListParagraph"/>
        <w:numPr>
          <w:ilvl w:val="1"/>
          <w:numId w:val="2"/>
        </w:numPr>
        <w:spacing w:before="120" w:after="120" w:line="360" w:lineRule="auto"/>
        <w:ind w:left="1080"/>
        <w:rPr>
          <w:rFonts w:asciiTheme="minorHAnsi" w:hAnsiTheme="minorHAnsi" w:cstheme="minorHAnsi"/>
        </w:rPr>
      </w:pPr>
      <w:r w:rsidRPr="00972F3B">
        <w:rPr>
          <w:rFonts w:asciiTheme="minorHAnsi" w:hAnsiTheme="minorHAnsi" w:cstheme="minorHAnsi"/>
        </w:rPr>
        <w:t>Identification from MGIT:  Species identification is routinely performed from growth on solid media. However, in certain circumstance, the laboratory may attempt to identify an organism by sequencing or MALDI-TOF MS directly from a positive MGIT</w:t>
      </w:r>
      <w:r w:rsidRPr="00972F3B">
        <w:rPr>
          <w:rFonts w:asciiTheme="minorHAnsi" w:hAnsiTheme="minorHAnsi" w:cstheme="minorHAnsi"/>
          <w:b/>
          <w:i/>
        </w:rPr>
        <w:t xml:space="preserve"> </w:t>
      </w:r>
      <w:r w:rsidRPr="00972F3B">
        <w:rPr>
          <w:rFonts w:asciiTheme="minorHAnsi" w:hAnsiTheme="minorHAnsi" w:cstheme="minorHAnsi"/>
        </w:rPr>
        <w:t xml:space="preserve">bottle. Inconclusive results may arise from this practice, and identification will be repeated from solid media growth, resulting in additional </w:t>
      </w:r>
      <w:r w:rsidR="00C93463" w:rsidRPr="00972F3B">
        <w:rPr>
          <w:rFonts w:asciiTheme="minorHAnsi" w:hAnsiTheme="minorHAnsi" w:cstheme="minorHAnsi"/>
        </w:rPr>
        <w:t>charges.</w:t>
      </w:r>
    </w:p>
    <w:sectPr w:rsidR="00972F3B" w:rsidRPr="00972F3B" w:rsidSect="00972F3B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B0C6" w14:textId="77777777" w:rsidR="00972F3B" w:rsidRDefault="00972F3B" w:rsidP="00972F3B">
      <w:r>
        <w:separator/>
      </w:r>
    </w:p>
  </w:endnote>
  <w:endnote w:type="continuationSeparator" w:id="0">
    <w:p w14:paraId="39F6D734" w14:textId="77777777" w:rsidR="00972F3B" w:rsidRDefault="00972F3B" w:rsidP="0097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015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B3600A" w14:textId="77777777" w:rsidR="00972F3B" w:rsidRDefault="00972F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B784875" w14:textId="77777777" w:rsidR="00972F3B" w:rsidRDefault="00972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88BE" w14:textId="77777777" w:rsidR="00972F3B" w:rsidRDefault="00972F3B" w:rsidP="00972F3B">
      <w:r>
        <w:separator/>
      </w:r>
    </w:p>
  </w:footnote>
  <w:footnote w:type="continuationSeparator" w:id="0">
    <w:p w14:paraId="51CF11FE" w14:textId="77777777" w:rsidR="00972F3B" w:rsidRDefault="00972F3B" w:rsidP="0097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B1D0" w14:textId="77777777" w:rsidR="00972F3B" w:rsidRDefault="00972F3B">
    <w:pPr>
      <w:pStyle w:val="Header"/>
    </w:pPr>
    <w:r>
      <w:t>Tuberculosis Control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4A42"/>
    <w:multiLevelType w:val="hybridMultilevel"/>
    <w:tmpl w:val="84BC8134"/>
    <w:lvl w:ilvl="0" w:tplc="184684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8929E38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4A04EACC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556CA4AA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B36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90698501">
    <w:abstractNumId w:val="1"/>
  </w:num>
  <w:num w:numId="2" w16cid:durableId="61788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77"/>
    <w:rsid w:val="00360477"/>
    <w:rsid w:val="00861DC1"/>
    <w:rsid w:val="00972F3B"/>
    <w:rsid w:val="009C0857"/>
    <w:rsid w:val="00B3326C"/>
    <w:rsid w:val="00BF686C"/>
    <w:rsid w:val="00C01AB0"/>
    <w:rsid w:val="00C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7B7D"/>
  <w15:chartTrackingRefBased/>
  <w15:docId w15:val="{F88768DD-0CFF-4E4B-AADE-7AE62D4B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7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477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477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47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47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4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47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4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4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4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0477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477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47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47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4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4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60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F3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F3B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26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26C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1DC1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Attachment 2:  UNC Medical Center AFB Laboratory Procedures</vt:lpstr>
      <vt:lpstr>        </vt:lpstr>
    </vt:vector>
  </TitlesOfParts>
  <Company>UNC Health Care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Goldbach, Sherie</dc:creator>
  <cp:keywords/>
  <dc:description/>
  <cp:lastModifiedBy>Goldbach, Sherie</cp:lastModifiedBy>
  <cp:revision>5</cp:revision>
  <dcterms:created xsi:type="dcterms:W3CDTF">2022-10-12T19:20:00Z</dcterms:created>
  <dcterms:modified xsi:type="dcterms:W3CDTF">2023-11-08T19:21:00Z</dcterms:modified>
</cp:coreProperties>
</file>